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val="0"/>
        <w:snapToGrid/>
        <w:spacing w:after="0"/>
        <w:contextualSpacing/>
        <w:jc w:val="center"/>
        <w:rPr>
          <w:rFonts w:ascii="方正小标宋简体" w:hAnsi="黑体" w:eastAsia="方正小标宋简体" w:cs="Arial"/>
          <w:color w:val="191919"/>
          <w:sz w:val="44"/>
          <w:szCs w:val="44"/>
          <w:shd w:val="clear" w:color="auto" w:fill="FFFFFF"/>
        </w:rPr>
      </w:pPr>
      <w:bookmarkStart w:id="0" w:name="_GoBack"/>
      <w:r>
        <w:rPr>
          <w:rFonts w:hint="eastAsia" w:ascii="方正小标宋简体" w:hAnsi="黑体" w:eastAsia="方正小标宋简体" w:cs="Arial"/>
          <w:color w:val="191919"/>
          <w:sz w:val="44"/>
          <w:szCs w:val="44"/>
          <w:shd w:val="clear" w:color="auto" w:fill="FFFFFF"/>
        </w:rPr>
        <w:t>国家助学贷</w:t>
      </w:r>
      <w:r>
        <w:rPr>
          <w:rFonts w:ascii="方正小标宋简体" w:hAnsi="黑体" w:eastAsia="方正小标宋简体" w:cs="Arial"/>
          <w:color w:val="191919"/>
          <w:sz w:val="44"/>
          <w:szCs w:val="44"/>
          <w:shd w:val="clear" w:color="auto" w:fill="FFFFFF"/>
        </w:rPr>
        <w:t>款</w:t>
      </w:r>
      <w:r>
        <w:rPr>
          <w:rFonts w:hint="eastAsia" w:ascii="方正小标宋简体" w:hAnsi="黑体" w:eastAsia="方正小标宋简体" w:cs="Arial"/>
          <w:color w:val="191919"/>
          <w:sz w:val="44"/>
          <w:szCs w:val="44"/>
          <w:shd w:val="clear" w:color="auto" w:fill="FFFFFF"/>
        </w:rPr>
        <w:t>还款小常识</w:t>
      </w:r>
    </w:p>
    <w:bookmarkEnd w:id="0"/>
    <w:p>
      <w:pPr>
        <w:widowControl w:val="0"/>
        <w:snapToGrid/>
        <w:spacing w:after="0"/>
        <w:ind w:firstLine="604" w:firstLineChars="200"/>
        <w:contextualSpacing/>
        <w:jc w:val="both"/>
        <w:rPr>
          <w:rFonts w:ascii="黑体" w:hAnsi="黑体" w:eastAsia="黑体" w:cs="Arial"/>
          <w:color w:val="191919"/>
          <w:sz w:val="32"/>
          <w:szCs w:val="32"/>
          <w:shd w:val="clear" w:color="auto" w:fill="FFFFFF"/>
        </w:rPr>
      </w:pPr>
      <w:r>
        <w:rPr>
          <w:rFonts w:hint="eastAsia" w:ascii="黑体" w:hAnsi="黑体" w:eastAsia="黑体" w:cs="Arial"/>
          <w:color w:val="191919"/>
          <w:sz w:val="32"/>
          <w:szCs w:val="32"/>
          <w:shd w:val="clear" w:color="auto" w:fill="FFFFFF"/>
        </w:rPr>
        <w:t>一</w:t>
      </w:r>
      <w:r>
        <w:rPr>
          <w:rFonts w:ascii="黑体" w:hAnsi="黑体" w:eastAsia="黑体" w:cs="Arial"/>
          <w:color w:val="191919"/>
          <w:sz w:val="32"/>
          <w:szCs w:val="32"/>
          <w:shd w:val="clear" w:color="auto" w:fill="FFFFFF"/>
        </w:rPr>
        <w:t>、</w:t>
      </w:r>
      <w:r>
        <w:rPr>
          <w:rFonts w:hint="eastAsia" w:ascii="黑体" w:hAnsi="黑体" w:eastAsia="黑体" w:cs="Arial"/>
          <w:color w:val="191919"/>
          <w:sz w:val="32"/>
          <w:szCs w:val="32"/>
          <w:shd w:val="clear" w:color="auto" w:fill="FFFFFF"/>
        </w:rPr>
        <w:t>还款方式</w:t>
      </w:r>
    </w:p>
    <w:p>
      <w:pPr>
        <w:widowControl w:val="0"/>
        <w:snapToGrid/>
        <w:spacing w:after="0"/>
        <w:ind w:left="640"/>
        <w:contextualSpacing/>
        <w:jc w:val="both"/>
        <w:rPr>
          <w:rFonts w:ascii="楷体_GB2312" w:hAnsi="仿宋" w:eastAsia="楷体_GB2312" w:cs="Arial"/>
          <w:b/>
          <w:color w:val="191919"/>
          <w:sz w:val="32"/>
          <w:szCs w:val="32"/>
          <w:shd w:val="clear" w:color="auto" w:fill="FFFFFF"/>
        </w:rPr>
      </w:pPr>
      <w:r>
        <w:rPr>
          <w:rFonts w:hint="eastAsia" w:ascii="楷体_GB2312" w:hAnsi="仿宋" w:eastAsia="楷体_GB2312" w:cs="Arial"/>
          <w:b/>
          <w:color w:val="191919"/>
          <w:sz w:val="32"/>
          <w:szCs w:val="32"/>
          <w:shd w:val="clear" w:color="auto" w:fill="FFFFFF"/>
        </w:rPr>
        <w:t>1.正常还款</w:t>
      </w:r>
    </w:p>
    <w:p>
      <w:pPr>
        <w:widowControl w:val="0"/>
        <w:snapToGrid/>
        <w:spacing w:after="0"/>
        <w:contextualSpacing/>
        <w:jc w:val="center"/>
        <w:rPr>
          <w:rFonts w:ascii="仿宋_GB2312" w:eastAsia="仿宋_GB2312"/>
          <w:sz w:val="32"/>
          <w:szCs w:val="32"/>
        </w:rPr>
      </w:pPr>
      <w:r>
        <w:rPr>
          <w:rFonts w:ascii="宋体" w:hAnsi="宋体" w:eastAsia="宋体" w:cs="宋体"/>
          <w:sz w:val="24"/>
          <w:szCs w:val="24"/>
        </w:rPr>
        <w:drawing>
          <wp:inline distT="0" distB="0" distL="0" distR="0">
            <wp:extent cx="3779520" cy="1722120"/>
            <wp:effectExtent l="19050" t="0" r="0" b="0"/>
            <wp:docPr id="3" name="图片 3" descr="C:\Users\Administrator\AppData\Roaming\Tencent\Users\384867523\QQ\WinTemp\RichOle\ESUKO$D3Y%]V9~YJDRL)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384867523\QQ\WinTemp\RichOle\ESUKO$D3Y%]V9~YJDRL)365.png"/>
                    <pic:cNvPicPr>
                      <a:picLocks noChangeAspect="1" noChangeArrowheads="1"/>
                    </pic:cNvPicPr>
                  </pic:nvPicPr>
                  <pic:blipFill>
                    <a:blip r:embed="rId6" cstate="print"/>
                    <a:srcRect/>
                    <a:stretch>
                      <a:fillRect/>
                    </a:stretch>
                  </pic:blipFill>
                  <pic:spPr>
                    <a:xfrm>
                      <a:off x="0" y="0"/>
                      <a:ext cx="3779520" cy="1722120"/>
                    </a:xfrm>
                    <a:prstGeom prst="rect">
                      <a:avLst/>
                    </a:prstGeom>
                    <a:noFill/>
                    <a:ln w="9525">
                      <a:noFill/>
                      <a:miter lim="800000"/>
                      <a:headEnd/>
                      <a:tailEnd/>
                    </a:ln>
                  </pic:spPr>
                </pic:pic>
              </a:graphicData>
            </a:graphic>
          </wp:inline>
        </w:drawing>
      </w:r>
    </w:p>
    <w:p>
      <w:pPr>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⑴11月1日（最后一年为9月1日）以后，登录学生在线服务系统</w:t>
      </w:r>
      <w:r>
        <w:fldChar w:fldCharType="begin"/>
      </w:r>
      <w:r>
        <w:instrText xml:space="preserve"> HYPERLINK "http://www.csls.cdb.com.cn" </w:instrText>
      </w:r>
      <w:r>
        <w:fldChar w:fldCharType="separate"/>
      </w:r>
      <w:r>
        <w:rPr>
          <w:rFonts w:hint="eastAsia" w:ascii="仿宋_GB2312" w:eastAsia="仿宋_GB2312"/>
          <w:color w:val="191919"/>
          <w:sz w:val="32"/>
          <w:szCs w:val="32"/>
        </w:rPr>
        <w:t>www.csls.cdb.com.cn</w:t>
      </w:r>
      <w:r>
        <w:rPr>
          <w:rFonts w:hint="eastAsia" w:ascii="仿宋_GB2312" w:eastAsia="仿宋_GB2312"/>
          <w:color w:val="191919"/>
          <w:sz w:val="32"/>
          <w:szCs w:val="32"/>
        </w:rPr>
        <w:fldChar w:fldCharType="end"/>
      </w:r>
      <w:r>
        <w:rPr>
          <w:rFonts w:hint="eastAsia" w:ascii="仿宋_GB2312" w:hAnsi="仿宋" w:eastAsia="仿宋_GB2312" w:cs="Arial"/>
          <w:color w:val="191919"/>
          <w:sz w:val="32"/>
          <w:szCs w:val="32"/>
          <w:shd w:val="clear" w:color="auto" w:fill="FFFFFF"/>
        </w:rPr>
        <w:t>,查询还款当期还款额度。系统用户名为借款学生身份证号，如果密码遗忘可拨打95593重置。</w:t>
      </w:r>
    </w:p>
    <w:p>
      <w:pPr>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⑵在11月1日至12月20日之间（最后一年为9月1日至9月20日之间），登录支付宝</w:t>
      </w:r>
      <w:r>
        <w:fldChar w:fldCharType="begin"/>
      </w:r>
      <w:r>
        <w:instrText xml:space="preserve"> HYPERLINK "http://www.alipay.com" </w:instrText>
      </w:r>
      <w:r>
        <w:fldChar w:fldCharType="separate"/>
      </w:r>
      <w:r>
        <w:rPr>
          <w:rFonts w:hint="eastAsia" w:ascii="仿宋_GB2312" w:eastAsia="仿宋_GB2312"/>
          <w:color w:val="191919"/>
          <w:sz w:val="32"/>
          <w:szCs w:val="32"/>
        </w:rPr>
        <w:t>www.alipay.com</w:t>
      </w:r>
      <w:r>
        <w:rPr>
          <w:rFonts w:hint="eastAsia" w:ascii="仿宋_GB2312" w:eastAsia="仿宋_GB2312"/>
          <w:color w:val="191919"/>
          <w:sz w:val="32"/>
          <w:szCs w:val="32"/>
        </w:rPr>
        <w:fldChar w:fldCharType="end"/>
      </w:r>
      <w:r>
        <w:rPr>
          <w:rFonts w:hint="eastAsia" w:ascii="仿宋_GB2312" w:hAnsi="仿宋" w:eastAsia="仿宋_GB2312" w:cs="Arial"/>
          <w:color w:val="191919"/>
          <w:sz w:val="32"/>
          <w:szCs w:val="32"/>
          <w:shd w:val="clear" w:color="auto" w:fill="FFFFFF"/>
        </w:rPr>
        <w:t>,直接在指定账户内充值还款或使用“助学贷款还款”功能还款，也可以前往县级资助中心或高校资助中心使用助学贷款专用POS机刷借记卡还款（请事先咨询是否提供POS机刷卡服务）。</w:t>
      </w:r>
    </w:p>
    <w:p>
      <w:pPr>
        <w:widowControl w:val="0"/>
        <w:snapToGrid/>
        <w:spacing w:after="0"/>
        <w:ind w:firstLine="604" w:firstLineChars="200"/>
        <w:contextualSpacing/>
        <w:jc w:val="both"/>
        <w:rPr>
          <w:rFonts w:ascii="楷体_GB2312" w:hAnsi="仿宋" w:eastAsia="楷体_GB2312" w:cs="Arial"/>
          <w:b/>
          <w:color w:val="191919"/>
          <w:sz w:val="32"/>
          <w:szCs w:val="32"/>
          <w:shd w:val="clear" w:color="auto" w:fill="FFFFFF"/>
        </w:rPr>
      </w:pPr>
      <w:r>
        <w:rPr>
          <w:rFonts w:hint="eastAsia" w:ascii="楷体_GB2312" w:hAnsi="仿宋" w:eastAsia="楷体_GB2312" w:cs="Arial"/>
          <w:b/>
          <w:color w:val="191919"/>
          <w:sz w:val="32"/>
          <w:szCs w:val="32"/>
          <w:shd w:val="clear" w:color="auto" w:fill="FFFFFF"/>
        </w:rPr>
        <w:t>2.提前还款</w:t>
      </w:r>
    </w:p>
    <w:p>
      <w:pPr>
        <w:widowControl w:val="0"/>
        <w:snapToGrid/>
        <w:spacing w:after="0"/>
        <w:contextualSpacing/>
        <w:jc w:val="center"/>
        <w:rPr>
          <w:rFonts w:ascii="仿宋_GB2312" w:eastAsia="仿宋_GB2312"/>
          <w:sz w:val="32"/>
          <w:szCs w:val="32"/>
        </w:rPr>
      </w:pPr>
      <w:r>
        <w:rPr>
          <w:rFonts w:ascii="宋体" w:hAnsi="宋体" w:eastAsia="宋体" w:cs="宋体"/>
          <w:sz w:val="24"/>
          <w:szCs w:val="24"/>
        </w:rPr>
        <w:drawing>
          <wp:inline distT="0" distB="0" distL="0" distR="0">
            <wp:extent cx="3665220" cy="1737360"/>
            <wp:effectExtent l="19050" t="0" r="0" b="0"/>
            <wp:docPr id="7" name="图片 7" descr="C:\Users\Administrator\AppData\Roaming\Tencent\Users\384867523\QQ\WinTemp\RichOle\`6BHI5M7F@ZE`KZ63~7S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384867523\QQ\WinTemp\RichOle\`6BHI5M7F@ZE`KZ63~7SM{H.png"/>
                    <pic:cNvPicPr>
                      <a:picLocks noChangeAspect="1" noChangeArrowheads="1"/>
                    </pic:cNvPicPr>
                  </pic:nvPicPr>
                  <pic:blipFill>
                    <a:blip r:embed="rId7" cstate="print"/>
                    <a:srcRect/>
                    <a:stretch>
                      <a:fillRect/>
                    </a:stretch>
                  </pic:blipFill>
                  <pic:spPr>
                    <a:xfrm>
                      <a:off x="0" y="0"/>
                      <a:ext cx="3665220" cy="1737360"/>
                    </a:xfrm>
                    <a:prstGeom prst="rect">
                      <a:avLst/>
                    </a:prstGeom>
                    <a:noFill/>
                    <a:ln w="9525">
                      <a:noFill/>
                      <a:miter lim="800000"/>
                      <a:headEnd/>
                      <a:tailEnd/>
                    </a:ln>
                  </pic:spPr>
                </pic:pic>
              </a:graphicData>
            </a:graphic>
          </wp:inline>
        </w:drawing>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⑴可以到县级资助中心或登录学生在线服务系统申请一次性还清一份或多份《借款合同》尚未清偿的所有助学贷款本金及相应利息；也可以申请提前偿还部分本金（必须为人民币500元以上、且为100元的整数倍数的金额）及相应利息。申请后需尽快前往就近的县级资助中心或高校资助中心使用助学贷款专用POS机刷借记卡还款或在支付宝账户内充值还款。</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⑵每天都可申请提前还款（特殊情况除外），系统将根据申请时间确定相应的结息日和利息金额（利息计算到结息日）。</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★1至9月及12月：每月15日（含）之前提交申请，利息计算至当月20日（结息日），请于当月20日前还款；15日之后提交申请，利息计算至次月20日（结息日），请于次月20日前还款。</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★10月、11月：10月1日至15日提交申请，利息计算至10月20日（结息日），请于10月20日前还款；10月16日至11月30日提交申请，利息计算至12月20日（结息日），请于12月20日前还款。</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⑶截止当月20日，如果指定账户内资金不足以支付提前还款应还利息或仅能支付提前还款应还利息但不足以支付提前还款应还本金的，仅扣收应还利息，上述两种情况都将视为本次提前还款申请无效。如果仍需提前还款需要重新发起申请。提前还款不成功不会对个人信用记录产生不良影响，也不会产生额外费用。</w:t>
      </w:r>
    </w:p>
    <w:p>
      <w:pPr>
        <w:widowControl w:val="0"/>
        <w:adjustRightInd/>
        <w:snapToGrid/>
        <w:spacing w:after="0"/>
        <w:contextualSpacing/>
        <w:jc w:val="both"/>
        <w:rPr>
          <w:rFonts w:ascii="楷体_GB2312" w:hAnsi="仿宋" w:eastAsia="楷体_GB2312" w:cs="Arial"/>
          <w:b/>
          <w:color w:val="191919"/>
          <w:sz w:val="32"/>
          <w:szCs w:val="32"/>
          <w:shd w:val="clear" w:color="auto" w:fill="FFFFFF"/>
        </w:rPr>
      </w:pPr>
      <w:r>
        <w:rPr>
          <w:rFonts w:hint="eastAsia" w:ascii="楷体_GB2312" w:hAnsi="仿宋" w:eastAsia="楷体_GB2312" w:cs="Arial"/>
          <w:b/>
          <w:color w:val="191919"/>
          <w:sz w:val="32"/>
          <w:szCs w:val="32"/>
          <w:shd w:val="clear" w:color="auto" w:fill="FFFFFF"/>
        </w:rPr>
        <w:t xml:space="preserve">    3.逾期还款</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除11月外，每月20日前都可进行逾期贷款还款。开始自付本息后，如当年12月20日未能及时还款，将被视作贷款逾期，并自本金逾期当月12月21日起产生罚息，逾期罚息率为当期利率的130%。逾期还款时应偿还逾期本息和截止还款当月20日已产生的罚息。</w:t>
      </w:r>
    </w:p>
    <w:p>
      <w:pPr>
        <w:widowControl w:val="0"/>
        <w:adjustRightInd/>
        <w:snapToGrid/>
        <w:spacing w:after="0"/>
        <w:ind w:firstLine="604" w:firstLineChars="200"/>
        <w:contextualSpacing/>
        <w:jc w:val="both"/>
        <w:rPr>
          <w:rFonts w:ascii="黑体" w:hAnsi="黑体" w:eastAsia="黑体" w:cs="Arial"/>
          <w:color w:val="191919"/>
          <w:sz w:val="32"/>
          <w:szCs w:val="32"/>
          <w:shd w:val="clear" w:color="auto" w:fill="FFFFFF"/>
        </w:rPr>
      </w:pPr>
      <w:r>
        <w:rPr>
          <w:rFonts w:hint="eastAsia" w:ascii="黑体" w:hAnsi="黑体" w:eastAsia="黑体" w:cs="Arial"/>
          <w:color w:val="191919"/>
          <w:sz w:val="32"/>
          <w:szCs w:val="32"/>
          <w:shd w:val="clear" w:color="auto" w:fill="FFFFFF"/>
        </w:rPr>
        <w:t>二</w:t>
      </w:r>
      <w:r>
        <w:rPr>
          <w:rFonts w:ascii="黑体" w:hAnsi="黑体" w:eastAsia="黑体" w:cs="Arial"/>
          <w:color w:val="191919"/>
          <w:sz w:val="32"/>
          <w:szCs w:val="32"/>
          <w:shd w:val="clear" w:color="auto" w:fill="FFFFFF"/>
        </w:rPr>
        <w:t>、</w:t>
      </w:r>
      <w:r>
        <w:rPr>
          <w:rFonts w:hint="eastAsia" w:ascii="黑体" w:hAnsi="黑体" w:eastAsia="黑体" w:cs="Arial"/>
          <w:color w:val="191919"/>
          <w:sz w:val="32"/>
          <w:szCs w:val="32"/>
          <w:shd w:val="clear" w:color="auto" w:fill="FFFFFF"/>
        </w:rPr>
        <w:t>逾期后果</w:t>
      </w:r>
    </w:p>
    <w:p>
      <w:pPr>
        <w:widowControl w:val="0"/>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1.按照国家《征信管理条例》的有关规定，有关不良记录将保留至逾期贷款结清后5年。如助学贷款学生出现未按期足额偿还借款等情况，其逾期记录将载入个人征信系统。每逾期一个月为逾期一期。逾期记录将会影响、限制贷款人办理信用卡、住房贷款、购车贷款等。</w:t>
      </w:r>
    </w:p>
    <w:p>
      <w:pPr>
        <w:widowControl w:val="0"/>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2.未按借款合同约定还款，国家开发银行有权停止发放借款、提前收回借款本息，并将违约情况告知借款学生所在单位（包括境内外就读院校、工作单位等）、国家有关部门和共同借款人居住地政府有关部门。</w:t>
      </w:r>
    </w:p>
    <w:p>
      <w:pPr>
        <w:widowControl w:val="0"/>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3.本金逾期超过一年并证明是恶意欠款的，可追究相应的法律责任。</w:t>
      </w:r>
    </w:p>
    <w:p>
      <w:pPr>
        <w:widowControl w:val="0"/>
        <w:adjustRightInd/>
        <w:snapToGrid/>
        <w:spacing w:after="0"/>
        <w:ind w:firstLine="604" w:firstLineChars="200"/>
        <w:contextualSpacing/>
        <w:jc w:val="both"/>
        <w:rPr>
          <w:rFonts w:ascii="黑体" w:hAnsi="黑体" w:eastAsia="黑体" w:cs="Arial"/>
          <w:color w:val="191919"/>
          <w:sz w:val="32"/>
          <w:szCs w:val="32"/>
          <w:shd w:val="clear" w:color="auto" w:fill="FFFFFF"/>
        </w:rPr>
      </w:pPr>
      <w:r>
        <w:rPr>
          <w:rFonts w:hint="eastAsia" w:ascii="黑体" w:hAnsi="黑体" w:eastAsia="黑体" w:cs="Arial"/>
          <w:color w:val="191919"/>
          <w:sz w:val="32"/>
          <w:szCs w:val="32"/>
          <w:shd w:val="clear" w:color="auto" w:fill="FFFFFF"/>
        </w:rPr>
        <w:t>三、温馨提示</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1.毕业离校前，登录学生在线服务系统提交毕业确认申请后，向所在高校提交本人签字的《确认表》。毕业离校后，如果你的工作单位、联系方式、家庭住址等信息发生变化，请及时登录学生在线服务系统进行变更，以便及时与你取得联系。</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2.自毕业（或结业）当年起，开始偿还助学贷款利息，还款日为每年的12月20日（最后一年为9月20日），遇节假日不顺延。自毕业（或结业）第四年起，开始偿还本金和利息，本金还款日与利息还款日相同。</w:t>
      </w:r>
    </w:p>
    <w:p>
      <w:pPr>
        <w:widowControl w:val="0"/>
        <w:adjustRightInd/>
        <w:snapToGrid/>
        <w:spacing w:after="0"/>
        <w:ind w:firstLine="604" w:firstLineChars="200"/>
        <w:contextualSpacing/>
        <w:jc w:val="both"/>
        <w:rPr>
          <w:rFonts w:ascii="仿宋_GB2312" w:hAnsi="仿宋" w:eastAsia="仿宋_GB2312" w:cs="Arial"/>
          <w:color w:val="191919"/>
          <w:sz w:val="32"/>
          <w:szCs w:val="32"/>
          <w:shd w:val="clear" w:color="auto" w:fill="FFFFFF"/>
        </w:rPr>
      </w:pPr>
      <w:r>
        <w:rPr>
          <w:rFonts w:hint="eastAsia" w:ascii="仿宋_GB2312" w:hAnsi="仿宋" w:eastAsia="仿宋_GB2312" w:cs="Arial"/>
          <w:color w:val="191919"/>
          <w:sz w:val="32"/>
          <w:szCs w:val="32"/>
          <w:shd w:val="clear" w:color="auto" w:fill="FFFFFF"/>
        </w:rPr>
        <w:t>3.毕业后继续攻读学位需要调整还款计划继续享受财政贴息，由本人或共同借款人持录取通知书或其他证明材料在毕业当年7月31日前，到生源地县级资助中心办理申请。</w:t>
      </w:r>
    </w:p>
    <w:p>
      <w:pPr>
        <w:widowControl w:val="0"/>
        <w:adjustRightInd/>
        <w:snapToGrid/>
        <w:spacing w:after="0"/>
        <w:ind w:firstLine="604" w:firstLineChars="200"/>
        <w:contextualSpacing/>
        <w:jc w:val="both"/>
        <w:rPr>
          <w:rFonts w:ascii="黑体" w:hAnsi="黑体" w:eastAsia="黑体"/>
          <w:sz w:val="32"/>
          <w:szCs w:val="32"/>
        </w:rPr>
      </w:pPr>
      <w:r>
        <w:rPr>
          <w:rFonts w:hint="eastAsia" w:ascii="黑体" w:hAnsi="黑体" w:eastAsia="黑体" w:cs="Arial"/>
          <w:color w:val="191919"/>
          <w:sz w:val="32"/>
          <w:szCs w:val="32"/>
          <w:shd w:val="clear" w:color="auto" w:fill="FFFFFF"/>
        </w:rPr>
        <w:t>四、</w:t>
      </w:r>
      <w:r>
        <w:rPr>
          <w:rFonts w:hint="eastAsia" w:ascii="黑体" w:hAnsi="黑体" w:eastAsia="黑体"/>
          <w:sz w:val="32"/>
          <w:szCs w:val="32"/>
        </w:rPr>
        <w:t>联系我们</w:t>
      </w:r>
    </w:p>
    <w:p>
      <w:pPr>
        <w:widowControl w:val="0"/>
        <w:adjustRightInd/>
        <w:snapToGrid/>
        <w:spacing w:after="0"/>
        <w:ind w:firstLine="604" w:firstLineChars="200"/>
        <w:contextualSpacing/>
        <w:jc w:val="both"/>
        <w:rPr>
          <w:rFonts w:ascii="仿宋_GB2312" w:hAnsi="仿宋" w:eastAsia="仿宋_GB2312"/>
          <w:sz w:val="32"/>
          <w:szCs w:val="32"/>
        </w:rPr>
      </w:pPr>
      <w:r>
        <w:rPr>
          <w:rFonts w:hint="eastAsia" w:ascii="仿宋_GB2312" w:hAnsi="仿宋" w:eastAsia="仿宋_GB2312"/>
          <w:sz w:val="32"/>
          <w:szCs w:val="32"/>
        </w:rPr>
        <w:t>国家开发银行助学贷款全国统一咨询热线：95593</w:t>
      </w:r>
    </w:p>
    <w:p>
      <w:pPr>
        <w:widowControl w:val="0"/>
        <w:adjustRightInd/>
        <w:snapToGrid/>
        <w:spacing w:after="0"/>
        <w:ind w:left="640"/>
        <w:contextualSpacing/>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学生在线服务系统：</w:t>
      </w:r>
      <w:r>
        <w:fldChar w:fldCharType="begin"/>
      </w:r>
      <w:r>
        <w:instrText xml:space="preserve"> HYPERLINK "http://www.csls.cdb.com.cn" </w:instrText>
      </w:r>
      <w:r>
        <w:fldChar w:fldCharType="separate"/>
      </w:r>
      <w:r>
        <w:rPr>
          <w:rStyle w:val="7"/>
          <w:rFonts w:hint="eastAsia" w:ascii="仿宋_GB2312" w:hAnsi="仿宋" w:eastAsia="仿宋_GB2312"/>
          <w:color w:val="000000" w:themeColor="text1"/>
          <w:sz w:val="32"/>
          <w:szCs w:val="32"/>
          <w:u w:val="none"/>
        </w:rPr>
        <w:t>www.csls.cdb.com.cn</w:t>
      </w:r>
      <w:r>
        <w:rPr>
          <w:rStyle w:val="7"/>
          <w:rFonts w:hint="eastAsia" w:ascii="仿宋_GB2312" w:hAnsi="仿宋" w:eastAsia="仿宋_GB2312"/>
          <w:color w:val="000000" w:themeColor="text1"/>
          <w:sz w:val="32"/>
          <w:szCs w:val="32"/>
          <w:u w:val="none"/>
        </w:rPr>
        <w:fldChar w:fldCharType="end"/>
      </w:r>
    </w:p>
    <w:p>
      <w:pPr>
        <w:widowControl w:val="0"/>
        <w:snapToGrid/>
        <w:spacing w:after="0"/>
        <w:ind w:firstLine="604" w:firstLineChars="200"/>
        <w:contextualSpacing/>
        <w:jc w:val="both"/>
        <w:rPr>
          <w:rFonts w:ascii="仿宋_GB2312" w:hAnsi="仿宋" w:eastAsia="仿宋_GB2312"/>
          <w:sz w:val="32"/>
          <w:szCs w:val="32"/>
        </w:rPr>
      </w:pPr>
      <w:r>
        <w:rPr>
          <w:rFonts w:hint="eastAsia" w:ascii="仿宋_GB2312" w:hAnsi="仿宋" w:eastAsia="仿宋_GB2312"/>
          <w:sz w:val="32"/>
          <w:szCs w:val="32"/>
        </w:rPr>
        <w:t>助学贷款支付宝生活号,咨询贷款政策，查询还款信息</w:t>
      </w:r>
    </w:p>
    <w:p>
      <w:pPr>
        <w:widowControl w:val="0"/>
        <w:snapToGrid/>
        <w:spacing w:after="0"/>
        <w:contextualSpacing/>
        <w:jc w:val="center"/>
        <w:rPr>
          <w:rFonts w:ascii="仿宋_GB2312" w:eastAsia="仿宋_GB2312"/>
          <w:sz w:val="32"/>
          <w:szCs w:val="32"/>
        </w:rPr>
      </w:pPr>
      <w:r>
        <w:rPr>
          <w:rFonts w:ascii="仿宋" w:hAnsi="仿宋" w:eastAsia="仿宋"/>
          <w:sz w:val="32"/>
        </w:rPr>
        <w:drawing>
          <wp:inline distT="0" distB="0" distL="0" distR="0">
            <wp:extent cx="1685925" cy="17716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771650"/>
                    </a:xfrm>
                    <a:prstGeom prst="rect">
                      <a:avLst/>
                    </a:prstGeom>
                  </pic:spPr>
                </pic:pic>
              </a:graphicData>
            </a:graphic>
          </wp:inline>
        </w:drawing>
      </w:r>
    </w:p>
    <w:sectPr>
      <w:footerReference r:id="rId3" w:type="default"/>
      <w:footerReference r:id="rId4" w:type="even"/>
      <w:pgSz w:w="11906" w:h="16838"/>
      <w:pgMar w:top="1588" w:right="1701" w:bottom="1871" w:left="1758" w:header="851" w:footer="851" w:gutter="0"/>
      <w:cols w:space="425" w:num="1"/>
      <w:docGrid w:type="linesAndChars" w:linePitch="581" w:charSpace="-3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10312"/>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083520"/>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20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E82"/>
    <w:rsid w:val="000236BF"/>
    <w:rsid w:val="000F61DD"/>
    <w:rsid w:val="001132EE"/>
    <w:rsid w:val="001451B2"/>
    <w:rsid w:val="00160092"/>
    <w:rsid w:val="001665FF"/>
    <w:rsid w:val="002460CC"/>
    <w:rsid w:val="002B640D"/>
    <w:rsid w:val="002D249B"/>
    <w:rsid w:val="00365732"/>
    <w:rsid w:val="00383BBD"/>
    <w:rsid w:val="003A15F5"/>
    <w:rsid w:val="003D3A97"/>
    <w:rsid w:val="00487AC9"/>
    <w:rsid w:val="004A5C66"/>
    <w:rsid w:val="004C48DD"/>
    <w:rsid w:val="00540E01"/>
    <w:rsid w:val="00577850"/>
    <w:rsid w:val="005E4811"/>
    <w:rsid w:val="005F001A"/>
    <w:rsid w:val="00627036"/>
    <w:rsid w:val="00682AFE"/>
    <w:rsid w:val="006F05F0"/>
    <w:rsid w:val="007615E0"/>
    <w:rsid w:val="0078163A"/>
    <w:rsid w:val="007D161C"/>
    <w:rsid w:val="007D7041"/>
    <w:rsid w:val="00805961"/>
    <w:rsid w:val="008235F9"/>
    <w:rsid w:val="008432A6"/>
    <w:rsid w:val="0085099D"/>
    <w:rsid w:val="008B47FF"/>
    <w:rsid w:val="008B6E02"/>
    <w:rsid w:val="008C2DED"/>
    <w:rsid w:val="00913E1B"/>
    <w:rsid w:val="009217AE"/>
    <w:rsid w:val="0095681D"/>
    <w:rsid w:val="00987379"/>
    <w:rsid w:val="009F0A63"/>
    <w:rsid w:val="00A11B98"/>
    <w:rsid w:val="00AB0076"/>
    <w:rsid w:val="00B57269"/>
    <w:rsid w:val="00B65F80"/>
    <w:rsid w:val="00B77F4A"/>
    <w:rsid w:val="00BC0ED2"/>
    <w:rsid w:val="00C25F15"/>
    <w:rsid w:val="00C2733C"/>
    <w:rsid w:val="00C469DE"/>
    <w:rsid w:val="00CB7BEF"/>
    <w:rsid w:val="00D018D3"/>
    <w:rsid w:val="00D27912"/>
    <w:rsid w:val="00D51148"/>
    <w:rsid w:val="00D669A1"/>
    <w:rsid w:val="00D71ABF"/>
    <w:rsid w:val="00D817C6"/>
    <w:rsid w:val="00DD73A6"/>
    <w:rsid w:val="00E0464E"/>
    <w:rsid w:val="00E41D40"/>
    <w:rsid w:val="00E528CF"/>
    <w:rsid w:val="00E54BC0"/>
    <w:rsid w:val="00E84AA1"/>
    <w:rsid w:val="00EA4C4B"/>
    <w:rsid w:val="00EA7F70"/>
    <w:rsid w:val="00F615F0"/>
    <w:rsid w:val="00F7265D"/>
    <w:rsid w:val="00F81E82"/>
    <w:rsid w:val="00F81FC8"/>
    <w:rsid w:val="00FF18E0"/>
    <w:rsid w:val="00FF2969"/>
    <w:rsid w:val="192C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宋体"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color w:val="auto"/>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jc w:val="center"/>
    </w:pPr>
    <w:rPr>
      <w:sz w:val="18"/>
      <w:szCs w:val="18"/>
    </w:rPr>
  </w:style>
  <w:style w:type="character" w:styleId="7">
    <w:name w:val="Hyperlink"/>
    <w:basedOn w:val="6"/>
    <w:unhideWhenUsed/>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4"/>
    <w:uiPriority w:val="99"/>
    <w:rPr>
      <w:rFonts w:ascii="Tahoma" w:hAnsi="Tahoma" w:eastAsia="微软雅黑" w:cstheme="minorBidi"/>
      <w:color w:val="auto"/>
      <w:sz w:val="18"/>
      <w:szCs w:val="18"/>
    </w:rPr>
  </w:style>
  <w:style w:type="character" w:customStyle="1" w:styleId="10">
    <w:name w:val="页脚 Char"/>
    <w:basedOn w:val="6"/>
    <w:link w:val="3"/>
    <w:uiPriority w:val="99"/>
    <w:rPr>
      <w:rFonts w:ascii="Tahoma" w:hAnsi="Tahoma" w:eastAsia="微软雅黑" w:cstheme="minorBidi"/>
      <w:color w:val="auto"/>
      <w:sz w:val="18"/>
      <w:szCs w:val="18"/>
    </w:rPr>
  </w:style>
  <w:style w:type="character" w:customStyle="1" w:styleId="11">
    <w:name w:val="批注框文本 Char"/>
    <w:basedOn w:val="6"/>
    <w:link w:val="2"/>
    <w:semiHidden/>
    <w:uiPriority w:val="99"/>
    <w:rPr>
      <w:rFonts w:ascii="Tahoma" w:hAnsi="Tahoma" w:eastAsia="微软雅黑" w:cstheme="minorBidi"/>
      <w:color w:val="auto"/>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323</Words>
  <Characters>1844</Characters>
  <Lines>15</Lines>
  <Paragraphs>4</Paragraphs>
  <TotalTime>539</TotalTime>
  <ScaleCrop>false</ScaleCrop>
  <LinksUpToDate>false</LinksUpToDate>
  <CharactersWithSpaces>2163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2018-04-11T05:41:00Z</dcterms:created>
  <dc:creator>10104</dc:creator>
  <cp:lastModifiedBy>爱睡觉的鱼</cp:lastModifiedBy>
  <cp:lastPrinted>2018-04-28T09:14:00Z</cp:lastPrinted>
  <dcterms:modified xsi:type="dcterms:W3CDTF">2019-05-09T03:16:25Z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