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jc w:val="left"/>
        <w:rPr>
          <w:rFonts w:hint="eastAsia" w:ascii="仿宋" w:hAnsi="ˎ̥" w:eastAsia="仿宋" w:cs="宋体"/>
          <w:b/>
          <w:color w:val="000000"/>
          <w:spacing w:val="8"/>
          <w:kern w:val="0"/>
          <w:sz w:val="28"/>
          <w:szCs w:val="28"/>
        </w:rPr>
      </w:pPr>
      <w:r>
        <w:rPr>
          <w:rFonts w:hint="eastAsia" w:ascii="仿宋" w:hAnsi="ˎ̥" w:eastAsia="仿宋" w:cs="宋体"/>
          <w:b/>
          <w:color w:val="000000"/>
          <w:spacing w:val="8"/>
          <w:kern w:val="0"/>
          <w:sz w:val="28"/>
        </w:rPr>
        <w:t>附件1：</w:t>
      </w:r>
    </w:p>
    <w:p>
      <w:pPr>
        <w:spacing w:after="156" w:afterLines="50" w:line="400" w:lineRule="exact"/>
        <w:jc w:val="center"/>
        <w:rPr>
          <w:rFonts w:hint="eastAsia" w:ascii="黑体" w:eastAsia="黑体"/>
          <w:sz w:val="30"/>
          <w:szCs w:val="30"/>
        </w:rPr>
      </w:pPr>
      <w:r>
        <w:rPr>
          <w:rFonts w:hint="eastAsia" w:ascii="黑体" w:hAnsi="宋体" w:eastAsia="黑体" w:cs="宋体"/>
          <w:b/>
          <w:color w:val="000000"/>
          <w:spacing w:val="8"/>
          <w:kern w:val="0"/>
          <w:sz w:val="32"/>
          <w:szCs w:val="32"/>
          <w:shd w:val="clear" w:color="auto" w:fill="F8F8FF"/>
        </w:rPr>
        <w:t>邵阳学院教师课堂教学竞赛参赛报名表</w:t>
      </w:r>
    </w:p>
    <w:tbl>
      <w:tblPr>
        <w:tblStyle w:val="4"/>
        <w:tblW w:w="9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2967"/>
        <w:gridCol w:w="1500"/>
        <w:gridCol w:w="6"/>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trPr>
        <w:tc>
          <w:tcPr>
            <w:tcW w:w="2504" w:type="dxa"/>
            <w:vAlign w:val="center"/>
          </w:tcPr>
          <w:p>
            <w:pPr>
              <w:jc w:val="center"/>
              <w:rPr>
                <w:rFonts w:hint="eastAsia" w:ascii="宋体" w:hAnsi="宋体"/>
                <w:sz w:val="24"/>
              </w:rPr>
            </w:pPr>
            <w:r>
              <w:rPr>
                <w:rFonts w:hint="eastAsia" w:ascii="宋体" w:hAnsi="宋体"/>
                <w:sz w:val="24"/>
              </w:rPr>
              <w:t>课程名称</w:t>
            </w:r>
          </w:p>
        </w:tc>
        <w:tc>
          <w:tcPr>
            <w:tcW w:w="2967" w:type="dxa"/>
            <w:vAlign w:val="center"/>
          </w:tcPr>
          <w:p>
            <w:pPr>
              <w:jc w:val="center"/>
              <w:rPr>
                <w:rFonts w:hint="eastAsia" w:ascii="宋体" w:hAnsi="宋体"/>
                <w:sz w:val="24"/>
              </w:rPr>
            </w:pPr>
          </w:p>
        </w:tc>
        <w:tc>
          <w:tcPr>
            <w:tcW w:w="1506" w:type="dxa"/>
            <w:gridSpan w:val="2"/>
            <w:vAlign w:val="center"/>
          </w:tcPr>
          <w:p>
            <w:pPr>
              <w:jc w:val="center"/>
              <w:rPr>
                <w:rFonts w:hint="eastAsia" w:ascii="宋体" w:hAnsi="宋体"/>
                <w:sz w:val="24"/>
              </w:rPr>
            </w:pPr>
            <w:r>
              <w:rPr>
                <w:rFonts w:hint="eastAsia" w:ascii="宋体" w:hAnsi="宋体"/>
                <w:sz w:val="24"/>
              </w:rPr>
              <w:t>面向学生</w:t>
            </w:r>
          </w:p>
        </w:tc>
        <w:tc>
          <w:tcPr>
            <w:tcW w:w="2526"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trPr>
        <w:tc>
          <w:tcPr>
            <w:tcW w:w="2504" w:type="dxa"/>
            <w:vAlign w:val="center"/>
          </w:tcPr>
          <w:p>
            <w:pPr>
              <w:jc w:val="center"/>
              <w:rPr>
                <w:rFonts w:hint="eastAsia" w:ascii="宋体" w:hAnsi="宋体"/>
                <w:sz w:val="24"/>
              </w:rPr>
            </w:pPr>
            <w:r>
              <w:rPr>
                <w:rFonts w:hint="eastAsia" w:ascii="宋体" w:hAnsi="宋体"/>
                <w:sz w:val="24"/>
              </w:rPr>
              <w:t>参赛教师姓名</w:t>
            </w:r>
          </w:p>
        </w:tc>
        <w:tc>
          <w:tcPr>
            <w:tcW w:w="2967" w:type="dxa"/>
            <w:vAlign w:val="center"/>
          </w:tcPr>
          <w:p>
            <w:pPr>
              <w:jc w:val="center"/>
              <w:rPr>
                <w:rFonts w:hint="eastAsia" w:ascii="宋体" w:hAnsi="宋体"/>
                <w:sz w:val="24"/>
              </w:rPr>
            </w:pPr>
          </w:p>
        </w:tc>
        <w:tc>
          <w:tcPr>
            <w:tcW w:w="1506" w:type="dxa"/>
            <w:gridSpan w:val="2"/>
            <w:vAlign w:val="center"/>
          </w:tcPr>
          <w:p>
            <w:pPr>
              <w:jc w:val="center"/>
              <w:rPr>
                <w:rFonts w:hint="eastAsia" w:ascii="宋体" w:hAnsi="宋体"/>
                <w:sz w:val="24"/>
              </w:rPr>
            </w:pPr>
            <w:r>
              <w:rPr>
                <w:rFonts w:hint="eastAsia" w:ascii="宋体" w:hAnsi="宋体"/>
                <w:sz w:val="24"/>
              </w:rPr>
              <w:t>所在单位</w:t>
            </w:r>
          </w:p>
        </w:tc>
        <w:tc>
          <w:tcPr>
            <w:tcW w:w="2526"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trPr>
        <w:tc>
          <w:tcPr>
            <w:tcW w:w="2504" w:type="dxa"/>
            <w:vAlign w:val="center"/>
          </w:tcPr>
          <w:p>
            <w:pPr>
              <w:jc w:val="center"/>
              <w:rPr>
                <w:rFonts w:hint="eastAsia" w:ascii="宋体" w:hAnsi="宋体"/>
                <w:sz w:val="24"/>
              </w:rPr>
            </w:pPr>
            <w:r>
              <w:rPr>
                <w:rFonts w:hint="eastAsia" w:ascii="宋体" w:hAnsi="宋体"/>
                <w:sz w:val="24"/>
              </w:rPr>
              <w:t>联系电话</w:t>
            </w:r>
          </w:p>
        </w:tc>
        <w:tc>
          <w:tcPr>
            <w:tcW w:w="2967" w:type="dxa"/>
            <w:vAlign w:val="center"/>
          </w:tcPr>
          <w:p>
            <w:pPr>
              <w:jc w:val="center"/>
              <w:rPr>
                <w:rFonts w:hint="eastAsia" w:ascii="宋体" w:hAnsi="宋体"/>
                <w:sz w:val="24"/>
              </w:rPr>
            </w:pPr>
          </w:p>
        </w:tc>
        <w:tc>
          <w:tcPr>
            <w:tcW w:w="1506" w:type="dxa"/>
            <w:gridSpan w:val="2"/>
            <w:vAlign w:val="center"/>
          </w:tcPr>
          <w:p>
            <w:pPr>
              <w:jc w:val="center"/>
              <w:rPr>
                <w:rFonts w:hint="eastAsia" w:ascii="宋体" w:hAnsi="宋体"/>
                <w:sz w:val="24"/>
              </w:rPr>
            </w:pPr>
            <w:r>
              <w:rPr>
                <w:rFonts w:hint="eastAsia" w:ascii="宋体" w:hAnsi="宋体"/>
                <w:sz w:val="24"/>
              </w:rPr>
              <w:t>E—MAIL</w:t>
            </w:r>
          </w:p>
        </w:tc>
        <w:tc>
          <w:tcPr>
            <w:tcW w:w="2526"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504" w:type="dxa"/>
            <w:vAlign w:val="center"/>
          </w:tcPr>
          <w:p>
            <w:pPr>
              <w:jc w:val="center"/>
              <w:rPr>
                <w:rFonts w:hint="eastAsia" w:ascii="宋体" w:hAnsi="宋体"/>
                <w:sz w:val="24"/>
              </w:rPr>
            </w:pPr>
            <w:r>
              <w:rPr>
                <w:rFonts w:hint="eastAsia" w:ascii="宋体" w:hAnsi="宋体"/>
                <w:sz w:val="24"/>
              </w:rPr>
              <w:t>身份证号</w:t>
            </w:r>
          </w:p>
        </w:tc>
        <w:tc>
          <w:tcPr>
            <w:tcW w:w="2967" w:type="dxa"/>
            <w:vAlign w:val="center"/>
          </w:tcPr>
          <w:p>
            <w:pPr>
              <w:jc w:val="center"/>
              <w:rPr>
                <w:rFonts w:hint="eastAsia" w:ascii="宋体" w:hAnsi="宋体"/>
                <w:sz w:val="24"/>
              </w:rPr>
            </w:pPr>
          </w:p>
        </w:tc>
        <w:tc>
          <w:tcPr>
            <w:tcW w:w="1500" w:type="dxa"/>
            <w:vAlign w:val="center"/>
          </w:tcPr>
          <w:p>
            <w:pPr>
              <w:jc w:val="center"/>
              <w:rPr>
                <w:rFonts w:hint="eastAsia" w:eastAsia="仿宋_GB2312"/>
                <w:sz w:val="24"/>
              </w:rPr>
            </w:pPr>
            <w:r>
              <w:rPr>
                <w:rFonts w:hint="eastAsia" w:ascii="宋体" w:hAnsi="宋体"/>
                <w:sz w:val="24"/>
              </w:rPr>
              <w:t>QQ号</w:t>
            </w:r>
          </w:p>
        </w:tc>
        <w:tc>
          <w:tcPr>
            <w:tcW w:w="2532" w:type="dxa"/>
            <w:gridSpan w:val="2"/>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503" w:type="dxa"/>
            <w:gridSpan w:val="5"/>
            <w:vAlign w:val="center"/>
          </w:tcPr>
          <w:p>
            <w:pPr>
              <w:rPr>
                <w:rFonts w:hint="eastAsia"/>
                <w:sz w:val="24"/>
              </w:rPr>
            </w:pPr>
            <w:r>
              <w:rPr>
                <w:rFonts w:hint="eastAsia"/>
                <w:sz w:val="24"/>
              </w:rPr>
              <w:t>参赛教师基本信息简介（包括大学毕业学校、学历、专业、研究方向、教学、科研等）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8" w:hRule="atLeast"/>
        </w:trPr>
        <w:tc>
          <w:tcPr>
            <w:tcW w:w="9503" w:type="dxa"/>
            <w:gridSpan w:val="5"/>
            <w:vAlign w:val="center"/>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6" w:hRule="atLeast"/>
        </w:trPr>
        <w:tc>
          <w:tcPr>
            <w:tcW w:w="9503" w:type="dxa"/>
            <w:gridSpan w:val="5"/>
            <w:tcBorders>
              <w:bottom w:val="single" w:color="auto" w:sz="4" w:space="0"/>
            </w:tcBorders>
            <w:vAlign w:val="top"/>
          </w:tcPr>
          <w:p>
            <w:pPr>
              <w:ind w:right="252" w:rightChars="120"/>
              <w:rPr>
                <w:rFonts w:hint="eastAsia"/>
                <w:sz w:val="24"/>
              </w:rPr>
            </w:pPr>
            <w:r>
              <w:rPr>
                <w:rFonts w:hint="eastAsia"/>
                <w:sz w:val="24"/>
              </w:rPr>
              <w:t>单位推荐意见：</w:t>
            </w:r>
          </w:p>
          <w:p>
            <w:pPr>
              <w:ind w:right="252" w:rightChars="120"/>
              <w:rPr>
                <w:rFonts w:hint="eastAsia"/>
                <w:sz w:val="24"/>
              </w:rPr>
            </w:pPr>
          </w:p>
          <w:p>
            <w:pPr>
              <w:ind w:right="252" w:rightChars="120"/>
              <w:rPr>
                <w:rFonts w:hint="eastAsia"/>
                <w:sz w:val="24"/>
              </w:rPr>
            </w:pPr>
          </w:p>
          <w:p>
            <w:pPr>
              <w:ind w:right="252" w:rightChars="120"/>
              <w:rPr>
                <w:rFonts w:hint="eastAsia"/>
                <w:sz w:val="24"/>
              </w:rPr>
            </w:pPr>
          </w:p>
          <w:p>
            <w:pPr>
              <w:ind w:right="252" w:rightChars="120"/>
              <w:rPr>
                <w:rFonts w:hint="eastAsia"/>
                <w:sz w:val="24"/>
              </w:rPr>
            </w:pPr>
          </w:p>
          <w:p>
            <w:pPr>
              <w:ind w:right="252" w:rightChars="120"/>
              <w:rPr>
                <w:rFonts w:hint="eastAsia"/>
                <w:sz w:val="24"/>
              </w:rPr>
            </w:pPr>
          </w:p>
          <w:p>
            <w:pPr>
              <w:ind w:right="252" w:rightChars="120" w:firstLine="3480" w:firstLineChars="1450"/>
              <w:rPr>
                <w:rFonts w:hint="eastAsia"/>
              </w:rPr>
            </w:pPr>
            <w:r>
              <w:rPr>
                <w:rFonts w:hint="eastAsia"/>
                <w:sz w:val="24"/>
              </w:rPr>
              <w:t xml:space="preserve">（单位盖章）                年      月      日 </w:t>
            </w:r>
          </w:p>
        </w:tc>
      </w:tr>
    </w:tbl>
    <w:p>
      <w:pPr>
        <w:widowControl/>
        <w:spacing w:line="360" w:lineRule="auto"/>
        <w:jc w:val="left"/>
        <w:rPr>
          <w:rFonts w:hint="eastAsia" w:ascii="黑体" w:hAnsi="黑体" w:eastAsia="黑体"/>
        </w:rPr>
      </w:pPr>
      <w:r>
        <w:rPr>
          <w:rFonts w:hint="eastAsia" w:ascii="仿宋" w:hAnsi="ˎ̥" w:eastAsia="仿宋" w:cs="宋体"/>
          <w:b/>
          <w:color w:val="000000"/>
          <w:spacing w:val="8"/>
          <w:kern w:val="0"/>
          <w:sz w:val="28"/>
        </w:rPr>
        <w:t>附件2：</w:t>
      </w:r>
    </w:p>
    <w:p>
      <w:pPr>
        <w:snapToGrid w:val="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湖南省普通高校教师课堂教学竞赛章程</w:t>
      </w:r>
    </w:p>
    <w:p>
      <w:pPr>
        <w:jc w:val="center"/>
        <w:rPr>
          <w:rFonts w:hint="eastAsia" w:ascii="楷体_GB2312" w:eastAsia="楷体_GB2312"/>
          <w:sz w:val="32"/>
          <w:szCs w:val="32"/>
        </w:rPr>
      </w:pPr>
      <w:r>
        <w:rPr>
          <w:rFonts w:hint="eastAsia" w:ascii="楷体_GB2312" w:eastAsia="楷体_GB2312"/>
          <w:sz w:val="32"/>
          <w:szCs w:val="32"/>
        </w:rPr>
        <w:t>（修  订）</w:t>
      </w:r>
    </w:p>
    <w:p>
      <w:pPr>
        <w:spacing w:line="620" w:lineRule="exact"/>
        <w:ind w:firstLine="640" w:firstLineChars="200"/>
        <w:rPr>
          <w:rFonts w:hint="eastAsia" w:ascii="黑体" w:eastAsia="黑体"/>
          <w:sz w:val="32"/>
          <w:szCs w:val="32"/>
        </w:rPr>
      </w:pPr>
      <w:r>
        <w:rPr>
          <w:rFonts w:hint="eastAsia" w:ascii="黑体" w:eastAsia="黑体"/>
          <w:sz w:val="32"/>
          <w:szCs w:val="32"/>
        </w:rPr>
        <w:t>一、竞赛目的</w:t>
      </w:r>
    </w:p>
    <w:p>
      <w:pPr>
        <w:spacing w:line="62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一</w:t>
      </w:r>
      <w:r>
        <w:rPr>
          <w:rFonts w:hint="eastAsia" w:eastAsia="仿宋_GB2312"/>
          <w:sz w:val="32"/>
          <w:szCs w:val="32"/>
        </w:rPr>
        <w:t>)</w:t>
      </w:r>
      <w:r>
        <w:rPr>
          <w:rFonts w:eastAsia="仿宋_GB2312"/>
          <w:sz w:val="32"/>
          <w:szCs w:val="32"/>
        </w:rPr>
        <w:t>推动高校更加重视课堂教学和教师专业发展，不断强化教学工作中心地位，全面提高人才培养质量。</w:t>
      </w:r>
    </w:p>
    <w:p>
      <w:pPr>
        <w:spacing w:line="62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二</w:t>
      </w:r>
      <w:r>
        <w:rPr>
          <w:rFonts w:eastAsia="仿宋_GB2312"/>
          <w:sz w:val="32"/>
          <w:szCs w:val="32"/>
        </w:rPr>
        <w:t>)</w:t>
      </w:r>
      <w:r>
        <w:rPr>
          <w:rFonts w:hint="eastAsia" w:eastAsia="仿宋_GB2312"/>
          <w:sz w:val="32"/>
          <w:szCs w:val="32"/>
        </w:rPr>
        <w:t>推动建立高校教学工作激励机制，加强校际教学研讨与交流，不断提升教师的教学业务水平。</w:t>
      </w:r>
    </w:p>
    <w:p>
      <w:pPr>
        <w:spacing w:line="62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w:t>
      </w:r>
      <w:r>
        <w:rPr>
          <w:rFonts w:hint="eastAsia" w:eastAsia="仿宋_GB2312"/>
          <w:sz w:val="32"/>
          <w:szCs w:val="32"/>
        </w:rPr>
        <w:t>引导高校教师加强课程教学研究，不断深化课程内容和教学方法改革，全面提高课堂教学效果。</w:t>
      </w:r>
    </w:p>
    <w:p>
      <w:pPr>
        <w:spacing w:line="62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四</w:t>
      </w:r>
      <w:r>
        <w:rPr>
          <w:rFonts w:eastAsia="仿宋_GB2312"/>
          <w:sz w:val="32"/>
          <w:szCs w:val="32"/>
        </w:rPr>
        <w:t>)</w:t>
      </w:r>
      <w:r>
        <w:rPr>
          <w:rFonts w:hint="eastAsia" w:eastAsia="仿宋_GB2312"/>
          <w:sz w:val="32"/>
          <w:szCs w:val="32"/>
        </w:rPr>
        <w:t>推进高等教育课程教学资源建设，着力搭建全省高校优质教学资源共享与交流平台。</w:t>
      </w:r>
    </w:p>
    <w:p>
      <w:pPr>
        <w:spacing w:line="620" w:lineRule="exact"/>
        <w:ind w:firstLine="640" w:firstLineChars="200"/>
        <w:rPr>
          <w:rFonts w:ascii="黑体" w:eastAsia="黑体"/>
          <w:sz w:val="32"/>
          <w:szCs w:val="32"/>
        </w:rPr>
      </w:pPr>
      <w:r>
        <w:rPr>
          <w:rFonts w:ascii="黑体" w:eastAsia="黑体"/>
          <w:sz w:val="32"/>
          <w:szCs w:val="32"/>
        </w:rPr>
        <w:t>二、组织领导</w:t>
      </w:r>
    </w:p>
    <w:p>
      <w:pPr>
        <w:spacing w:line="620" w:lineRule="exact"/>
        <w:ind w:firstLine="640" w:firstLineChars="200"/>
        <w:rPr>
          <w:rFonts w:eastAsia="仿宋_GB2312"/>
          <w:sz w:val="32"/>
          <w:szCs w:val="32"/>
        </w:rPr>
      </w:pPr>
      <w:r>
        <w:rPr>
          <w:rFonts w:hint="eastAsia" w:eastAsia="仿宋_GB2312"/>
          <w:sz w:val="32"/>
          <w:szCs w:val="32"/>
        </w:rPr>
        <w:t>竞赛由省教育厅和省教育工会联合主办，省教育科学研究院承办，根据需要可邀请高校和相关企事业单位协办。</w:t>
      </w:r>
    </w:p>
    <w:p>
      <w:pPr>
        <w:spacing w:line="620" w:lineRule="exact"/>
        <w:ind w:firstLine="640" w:firstLineChars="200"/>
        <w:rPr>
          <w:rFonts w:eastAsia="仿宋_GB2312"/>
          <w:sz w:val="32"/>
          <w:szCs w:val="32"/>
        </w:rPr>
      </w:pPr>
      <w:r>
        <w:rPr>
          <w:rFonts w:hint="eastAsia" w:eastAsia="仿宋_GB2312"/>
          <w:sz w:val="32"/>
          <w:szCs w:val="32"/>
        </w:rPr>
        <w:t>每年成立由主办单位、承办单位、高校领导和专家组成的竞赛委员会。组委会办公室设省教育科学研究院高等教育研究所。</w:t>
      </w:r>
    </w:p>
    <w:p>
      <w:pPr>
        <w:spacing w:line="620" w:lineRule="exact"/>
        <w:ind w:firstLine="640" w:firstLineChars="200"/>
        <w:rPr>
          <w:rFonts w:ascii="黑体" w:eastAsia="黑体"/>
          <w:sz w:val="32"/>
          <w:szCs w:val="32"/>
        </w:rPr>
      </w:pPr>
      <w:r>
        <w:rPr>
          <w:rFonts w:ascii="黑体" w:eastAsia="黑体"/>
          <w:sz w:val="32"/>
          <w:szCs w:val="32"/>
        </w:rPr>
        <w:t>三、参赛对象</w:t>
      </w:r>
    </w:p>
    <w:p>
      <w:pPr>
        <w:spacing w:line="620" w:lineRule="exact"/>
        <w:ind w:firstLine="640" w:firstLineChars="200"/>
        <w:rPr>
          <w:rFonts w:eastAsia="仿宋_GB2312"/>
          <w:sz w:val="32"/>
          <w:szCs w:val="32"/>
        </w:rPr>
      </w:pPr>
      <w:r>
        <w:rPr>
          <w:rFonts w:hint="eastAsia" w:eastAsia="仿宋_GB2312"/>
          <w:sz w:val="32"/>
          <w:szCs w:val="32"/>
        </w:rPr>
        <w:t>全省普通本专科学校（含独立学院）承担各学科专业必修课程教学任务三年以上、近两年年度考核或课程教学考核合格的在职专任教师均可参赛。</w:t>
      </w:r>
    </w:p>
    <w:p>
      <w:pPr>
        <w:spacing w:line="620" w:lineRule="exact"/>
        <w:ind w:firstLine="640" w:firstLineChars="200"/>
        <w:rPr>
          <w:rFonts w:ascii="黑体" w:eastAsia="黑体"/>
          <w:sz w:val="32"/>
          <w:szCs w:val="32"/>
        </w:rPr>
      </w:pPr>
      <w:r>
        <w:rPr>
          <w:rFonts w:ascii="黑体" w:eastAsia="黑体"/>
          <w:sz w:val="32"/>
          <w:szCs w:val="32"/>
        </w:rPr>
        <w:t>四、</w:t>
      </w:r>
      <w:r>
        <w:rPr>
          <w:rFonts w:hint="eastAsia" w:ascii="黑体" w:eastAsia="黑体"/>
          <w:sz w:val="32"/>
          <w:szCs w:val="32"/>
        </w:rPr>
        <w:t>竞赛内容</w:t>
      </w:r>
    </w:p>
    <w:p>
      <w:pPr>
        <w:spacing w:line="620" w:lineRule="exact"/>
        <w:ind w:firstLine="640" w:firstLineChars="200"/>
        <w:rPr>
          <w:rFonts w:eastAsia="仿宋_GB2312"/>
          <w:sz w:val="32"/>
          <w:szCs w:val="32"/>
        </w:rPr>
      </w:pPr>
      <w:r>
        <w:rPr>
          <w:rFonts w:hint="eastAsia" w:eastAsia="仿宋_GB2312"/>
          <w:sz w:val="32"/>
          <w:szCs w:val="32"/>
        </w:rPr>
        <w:t>课堂教学竞赛坚持以培养学生创意、创新、创业能力为主线，重点考察参赛教师是否正确运用高等教育教学改革新理念、新要求设计教学方案，并按照规范的格式及要求撰写教案；是否准确把握所授课程和使用教材的主要内容、重点和难点，并及时将相关学科专业的新知识以及从事科学研究的新成果融入课程教学；是否按照既定教学目标和学生认知规律，合理处理教学内容和教学资源，科学选用教学策略、方法组织课堂教学；是否正确运用各类现代技术手段开展教学，有效调控课堂和调动学生自主学习、探究学习的积极性等。</w:t>
      </w:r>
    </w:p>
    <w:p>
      <w:pPr>
        <w:spacing w:line="620" w:lineRule="exact"/>
        <w:ind w:firstLine="640" w:firstLineChars="200"/>
        <w:rPr>
          <w:rFonts w:ascii="黑体" w:eastAsia="黑体"/>
          <w:sz w:val="32"/>
          <w:szCs w:val="32"/>
        </w:rPr>
      </w:pPr>
      <w:r>
        <w:rPr>
          <w:rFonts w:ascii="黑体" w:eastAsia="黑体"/>
          <w:sz w:val="32"/>
          <w:szCs w:val="32"/>
        </w:rPr>
        <w:t>五、竞赛程序</w:t>
      </w:r>
    </w:p>
    <w:p>
      <w:pPr>
        <w:spacing w:line="62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一</w:t>
      </w:r>
      <w:r>
        <w:rPr>
          <w:rFonts w:eastAsia="仿宋_GB2312"/>
          <w:sz w:val="32"/>
          <w:szCs w:val="32"/>
        </w:rPr>
        <w:t>)</w:t>
      </w:r>
      <w:r>
        <w:rPr>
          <w:rFonts w:hint="eastAsia" w:eastAsia="仿宋_GB2312"/>
          <w:sz w:val="32"/>
          <w:szCs w:val="32"/>
        </w:rPr>
        <w:t>初赛</w:t>
      </w:r>
    </w:p>
    <w:p>
      <w:pPr>
        <w:spacing w:line="620" w:lineRule="exact"/>
        <w:ind w:firstLine="640" w:firstLineChars="200"/>
        <w:rPr>
          <w:rFonts w:eastAsia="仿宋_GB2312"/>
          <w:sz w:val="32"/>
          <w:szCs w:val="32"/>
        </w:rPr>
      </w:pPr>
      <w:r>
        <w:rPr>
          <w:rFonts w:hint="eastAsia" w:eastAsia="仿宋_GB2312"/>
          <w:sz w:val="32"/>
          <w:szCs w:val="32"/>
        </w:rPr>
        <w:t>各高校应积极动员和组织广大教师特别是中青年教师参加校内初赛，具体竞赛形式由学校自主确定。初赛应注重考察参赛教师对所授课程及教材的整体教学设计能力和课堂教学实际效果。在符合教学基本规范要求的基础上，优先推荐大胆改革课程教学，凸显高校课堂特色，注重学生自主学习能力培养的任课教师参加省级复赛。</w:t>
      </w:r>
    </w:p>
    <w:p>
      <w:pPr>
        <w:spacing w:line="62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二</w:t>
      </w:r>
      <w:r>
        <w:rPr>
          <w:rFonts w:eastAsia="仿宋_GB2312"/>
          <w:sz w:val="32"/>
          <w:szCs w:val="32"/>
        </w:rPr>
        <w:t>)</w:t>
      </w:r>
      <w:r>
        <w:rPr>
          <w:rFonts w:hint="eastAsia" w:eastAsia="仿宋_GB2312"/>
          <w:sz w:val="32"/>
          <w:szCs w:val="32"/>
        </w:rPr>
        <w:t>复赛</w:t>
      </w:r>
    </w:p>
    <w:p>
      <w:pPr>
        <w:spacing w:line="620" w:lineRule="exact"/>
        <w:ind w:firstLine="640" w:firstLineChars="200"/>
        <w:rPr>
          <w:rFonts w:eastAsia="仿宋_GB2312"/>
          <w:sz w:val="32"/>
          <w:szCs w:val="32"/>
        </w:rPr>
      </w:pPr>
      <w:r>
        <w:rPr>
          <w:rFonts w:hint="eastAsia" w:eastAsia="仿宋_GB2312"/>
          <w:sz w:val="32"/>
          <w:szCs w:val="32"/>
        </w:rPr>
        <w:t>按文科类、理科类、工科类组织复赛，外语类课程可单独设组比赛。专科学校和独立学院不单独分组。各高校根据初赛结果按照年度分配名额择优推选教师参赛，尽量兼顾文科类、理科类、工科类均衡分布。推荐参加省级复赛的教师应提交所授课程</w:t>
      </w:r>
      <w:r>
        <w:rPr>
          <w:rFonts w:eastAsia="仿宋_GB2312"/>
          <w:sz w:val="32"/>
          <w:szCs w:val="32"/>
        </w:rPr>
        <w:t>20</w:t>
      </w:r>
      <w:r>
        <w:rPr>
          <w:rFonts w:hint="eastAsia" w:eastAsia="仿宋_GB2312"/>
          <w:sz w:val="32"/>
          <w:szCs w:val="32"/>
        </w:rPr>
        <w:t>个学时的教学设计（教案）和与之对应的</w:t>
      </w:r>
      <w:r>
        <w:rPr>
          <w:rFonts w:eastAsia="仿宋_GB2312"/>
          <w:sz w:val="32"/>
          <w:szCs w:val="32"/>
        </w:rPr>
        <w:t>20</w:t>
      </w:r>
      <w:r>
        <w:rPr>
          <w:rFonts w:hint="eastAsia" w:eastAsia="仿宋_GB2312"/>
          <w:sz w:val="32"/>
          <w:szCs w:val="32"/>
        </w:rPr>
        <w:t>个节段的教学课件（即</w:t>
      </w:r>
      <w:r>
        <w:rPr>
          <w:rFonts w:eastAsia="仿宋_GB2312"/>
          <w:sz w:val="32"/>
          <w:szCs w:val="32"/>
        </w:rPr>
        <w:t>15</w:t>
      </w:r>
      <w:r>
        <w:rPr>
          <w:rFonts w:hint="eastAsia" w:eastAsia="仿宋_GB2312"/>
          <w:sz w:val="32"/>
          <w:szCs w:val="32"/>
        </w:rPr>
        <w:t>分钟左右的课堂教学重点内容节段），以及其中</w:t>
      </w:r>
      <w:r>
        <w:rPr>
          <w:rFonts w:eastAsia="仿宋_GB2312"/>
          <w:sz w:val="32"/>
          <w:szCs w:val="32"/>
        </w:rPr>
        <w:t>1</w:t>
      </w:r>
      <w:r>
        <w:rPr>
          <w:rFonts w:hint="eastAsia" w:eastAsia="仿宋_GB2312"/>
          <w:sz w:val="32"/>
          <w:szCs w:val="32"/>
        </w:rPr>
        <w:t>个学时（约</w:t>
      </w:r>
      <w:r>
        <w:rPr>
          <w:rFonts w:eastAsia="仿宋_GB2312"/>
          <w:sz w:val="32"/>
          <w:szCs w:val="32"/>
        </w:rPr>
        <w:t>45</w:t>
      </w:r>
      <w:r>
        <w:rPr>
          <w:rFonts w:hint="eastAsia" w:eastAsia="仿宋_GB2312"/>
          <w:sz w:val="32"/>
          <w:szCs w:val="32"/>
        </w:rPr>
        <w:t>分钟）的课堂教学视频和针对该教学视频的</w:t>
      </w:r>
      <w:r>
        <w:rPr>
          <w:rFonts w:eastAsia="仿宋_GB2312"/>
          <w:sz w:val="32"/>
          <w:szCs w:val="32"/>
        </w:rPr>
        <w:t>1000</w:t>
      </w:r>
      <w:r>
        <w:rPr>
          <w:rFonts w:hint="eastAsia" w:eastAsia="仿宋_GB2312"/>
          <w:sz w:val="32"/>
          <w:szCs w:val="32"/>
        </w:rPr>
        <w:t>字以内的教学反思。</w:t>
      </w:r>
    </w:p>
    <w:p>
      <w:pPr>
        <w:spacing w:line="620" w:lineRule="exact"/>
        <w:ind w:firstLine="640" w:firstLineChars="200"/>
        <w:rPr>
          <w:rFonts w:eastAsia="仿宋_GB2312"/>
          <w:sz w:val="32"/>
          <w:szCs w:val="32"/>
        </w:rPr>
      </w:pPr>
      <w:r>
        <w:rPr>
          <w:rFonts w:hint="eastAsia" w:eastAsia="仿宋_GB2312"/>
          <w:sz w:val="32"/>
          <w:szCs w:val="32"/>
        </w:rPr>
        <w:t>复赛重在考察教师对课程的整体把握能力，教学组织实施的规范性，灵活运用各种教学方法（如启发式、研讨式、案例式等）组织教学的能力，以及使用现代技术手段的水平。组委会将组织专家对参赛教师提交的教学设计（教案）、教学课件、课堂教学视频及教学反思等进行网络评审和评分，其中教学设计（教案）及教学课件共占</w:t>
      </w:r>
      <w:r>
        <w:rPr>
          <w:rFonts w:eastAsia="仿宋_GB2312"/>
          <w:sz w:val="32"/>
          <w:szCs w:val="32"/>
        </w:rPr>
        <w:t>50%</w:t>
      </w:r>
      <w:r>
        <w:rPr>
          <w:rFonts w:hint="eastAsia" w:eastAsia="仿宋_GB2312"/>
          <w:sz w:val="32"/>
          <w:szCs w:val="32"/>
        </w:rPr>
        <w:t>、课堂教学视频及教学反思共占</w:t>
      </w:r>
      <w:r>
        <w:rPr>
          <w:rFonts w:eastAsia="仿宋_GB2312"/>
          <w:sz w:val="32"/>
          <w:szCs w:val="32"/>
        </w:rPr>
        <w:t>50%</w:t>
      </w:r>
      <w:r>
        <w:rPr>
          <w:rFonts w:hint="eastAsia" w:eastAsia="仿宋_GB2312"/>
          <w:sz w:val="32"/>
          <w:szCs w:val="32"/>
        </w:rPr>
        <w:t>。</w:t>
      </w:r>
    </w:p>
    <w:p>
      <w:pPr>
        <w:spacing w:line="620" w:lineRule="exact"/>
        <w:ind w:firstLine="640" w:firstLineChars="200"/>
        <w:rPr>
          <w:rFonts w:eastAsia="仿宋_GB2312"/>
          <w:sz w:val="32"/>
          <w:szCs w:val="32"/>
        </w:rPr>
      </w:pPr>
      <w:r>
        <w:rPr>
          <w:rFonts w:hint="eastAsia" w:eastAsia="仿宋_GB2312"/>
          <w:sz w:val="32"/>
          <w:szCs w:val="32"/>
        </w:rPr>
        <w:t>参赛教师上传至课堂教学竞赛平台的教学设计（教案）、教学课件、教学视频和教学反思的内容、文件命名、上传路径、文件属性等均不得透露任何个人与学校信息，否则取消复赛成绩。</w:t>
      </w:r>
    </w:p>
    <w:p>
      <w:pPr>
        <w:spacing w:line="620" w:lineRule="exact"/>
        <w:ind w:firstLine="640" w:firstLineChars="200"/>
        <w:rPr>
          <w:rFonts w:eastAsia="仿宋_GB2312"/>
          <w:sz w:val="32"/>
          <w:szCs w:val="32"/>
        </w:rPr>
      </w:pPr>
      <w:r>
        <w:rPr>
          <w:rFonts w:eastAsia="仿宋_GB2312"/>
          <w:sz w:val="32"/>
          <w:szCs w:val="32"/>
        </w:rPr>
        <w:t xml:space="preserve"> (</w:t>
      </w:r>
      <w:r>
        <w:rPr>
          <w:rFonts w:hint="eastAsia" w:eastAsia="仿宋_GB2312"/>
          <w:sz w:val="32"/>
          <w:szCs w:val="32"/>
        </w:rPr>
        <w:t>三</w:t>
      </w:r>
      <w:r>
        <w:rPr>
          <w:rFonts w:eastAsia="仿宋_GB2312"/>
          <w:sz w:val="32"/>
          <w:szCs w:val="32"/>
        </w:rPr>
        <w:t>)</w:t>
      </w:r>
      <w:r>
        <w:rPr>
          <w:rFonts w:hint="eastAsia" w:eastAsia="仿宋_GB2312"/>
          <w:sz w:val="32"/>
          <w:szCs w:val="32"/>
        </w:rPr>
        <w:t>决赛</w:t>
      </w:r>
    </w:p>
    <w:p>
      <w:pPr>
        <w:spacing w:line="620" w:lineRule="exact"/>
        <w:ind w:firstLine="640" w:firstLineChars="200"/>
        <w:rPr>
          <w:rFonts w:eastAsia="仿宋_GB2312"/>
          <w:sz w:val="32"/>
          <w:szCs w:val="32"/>
        </w:rPr>
      </w:pPr>
      <w:r>
        <w:rPr>
          <w:rFonts w:hint="eastAsia" w:eastAsia="仿宋_GB2312"/>
          <w:sz w:val="32"/>
          <w:szCs w:val="32"/>
        </w:rPr>
        <w:t>决赛重在考察教师针对所抽取教学内容，紧密联系学科发展前沿、课程知识体系和生产生活实际，进一步激发创新思维、分析研讨问题、拓展知识应用以及灵活组织课堂的能力。各组别复赛前</w:t>
      </w:r>
      <w:r>
        <w:rPr>
          <w:rFonts w:eastAsia="仿宋_GB2312"/>
          <w:sz w:val="32"/>
          <w:szCs w:val="32"/>
        </w:rPr>
        <w:t>25%</w:t>
      </w:r>
      <w:r>
        <w:rPr>
          <w:rFonts w:hint="eastAsia" w:eastAsia="仿宋_GB2312"/>
          <w:sz w:val="32"/>
          <w:szCs w:val="32"/>
        </w:rPr>
        <w:t>左右的教师进入决赛。决赛时，由参赛教师从复赛提交的教学节段中现场随机抽取一个参赛内容进行教学，时间不超过</w:t>
      </w:r>
      <w:r>
        <w:rPr>
          <w:rFonts w:eastAsia="仿宋_GB2312"/>
          <w:sz w:val="32"/>
          <w:szCs w:val="32"/>
        </w:rPr>
        <w:t>15</w:t>
      </w:r>
      <w:r>
        <w:rPr>
          <w:rFonts w:hint="eastAsia" w:eastAsia="仿宋_GB2312"/>
          <w:sz w:val="32"/>
          <w:szCs w:val="32"/>
        </w:rPr>
        <w:t>分钟。为确保公平公正，决赛评分一律实行专家现场打分，参赛教师在教学过程中不得透露任何个人与学校信息，否则取消决赛成绩。</w:t>
      </w:r>
    </w:p>
    <w:p>
      <w:pPr>
        <w:spacing w:line="620" w:lineRule="exact"/>
        <w:ind w:firstLine="640" w:firstLineChars="200"/>
        <w:rPr>
          <w:rFonts w:ascii="黑体" w:eastAsia="黑体"/>
          <w:sz w:val="32"/>
          <w:szCs w:val="32"/>
        </w:rPr>
      </w:pPr>
      <w:r>
        <w:rPr>
          <w:rFonts w:ascii="黑体" w:eastAsia="黑体"/>
          <w:sz w:val="32"/>
          <w:szCs w:val="32"/>
        </w:rPr>
        <w:t xml:space="preserve">六、竞赛评奖 </w:t>
      </w:r>
    </w:p>
    <w:p>
      <w:pPr>
        <w:spacing w:line="62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一</w:t>
      </w:r>
      <w:r>
        <w:rPr>
          <w:rFonts w:eastAsia="仿宋_GB2312"/>
          <w:sz w:val="32"/>
          <w:szCs w:val="32"/>
        </w:rPr>
        <w:t>)</w:t>
      </w:r>
      <w:r>
        <w:rPr>
          <w:rFonts w:hint="eastAsia" w:eastAsia="仿宋_GB2312"/>
          <w:sz w:val="32"/>
          <w:szCs w:val="32"/>
        </w:rPr>
        <w:t>奖项设置</w:t>
      </w:r>
    </w:p>
    <w:p>
      <w:pPr>
        <w:spacing w:line="620" w:lineRule="exact"/>
        <w:ind w:firstLine="640" w:firstLineChars="200"/>
        <w:rPr>
          <w:rFonts w:eastAsia="仿宋_GB2312"/>
          <w:sz w:val="32"/>
          <w:szCs w:val="32"/>
        </w:rPr>
      </w:pPr>
      <w:r>
        <w:rPr>
          <w:rFonts w:hint="eastAsia" w:eastAsia="仿宋_GB2312"/>
          <w:sz w:val="32"/>
          <w:szCs w:val="32"/>
        </w:rPr>
        <w:t>竞赛设教师个人奖和学校组织奖。个人奖按各组别复赛教师人数设奖，其中一等奖</w:t>
      </w:r>
      <w:r>
        <w:rPr>
          <w:rFonts w:eastAsia="仿宋_GB2312"/>
          <w:sz w:val="32"/>
          <w:szCs w:val="32"/>
        </w:rPr>
        <w:t>15%</w:t>
      </w:r>
      <w:r>
        <w:rPr>
          <w:rFonts w:hint="eastAsia" w:eastAsia="仿宋_GB2312"/>
          <w:sz w:val="32"/>
          <w:szCs w:val="32"/>
        </w:rPr>
        <w:t>，二等奖</w:t>
      </w:r>
      <w:r>
        <w:rPr>
          <w:rFonts w:eastAsia="仿宋_GB2312"/>
          <w:sz w:val="32"/>
          <w:szCs w:val="32"/>
        </w:rPr>
        <w:t>25%</w:t>
      </w:r>
      <w:r>
        <w:rPr>
          <w:rFonts w:hint="eastAsia" w:eastAsia="仿宋_GB2312"/>
          <w:sz w:val="32"/>
          <w:szCs w:val="32"/>
        </w:rPr>
        <w:t>，三等奖</w:t>
      </w:r>
      <w:r>
        <w:rPr>
          <w:rFonts w:eastAsia="仿宋_GB2312"/>
          <w:sz w:val="32"/>
          <w:szCs w:val="32"/>
        </w:rPr>
        <w:t>40%</w:t>
      </w:r>
      <w:r>
        <w:rPr>
          <w:rFonts w:hint="eastAsia" w:eastAsia="仿宋_GB2312"/>
          <w:sz w:val="32"/>
          <w:szCs w:val="32"/>
        </w:rPr>
        <w:t>。组织奖按参赛学校总数的</w:t>
      </w:r>
      <w:r>
        <w:rPr>
          <w:rFonts w:eastAsia="仿宋_GB2312"/>
          <w:sz w:val="32"/>
          <w:szCs w:val="32"/>
        </w:rPr>
        <w:t>20%</w:t>
      </w:r>
      <w:r>
        <w:rPr>
          <w:rFonts w:hint="eastAsia" w:eastAsia="仿宋_GB2312"/>
          <w:sz w:val="32"/>
          <w:szCs w:val="32"/>
        </w:rPr>
        <w:t>左右设奖。</w:t>
      </w:r>
    </w:p>
    <w:p>
      <w:pPr>
        <w:spacing w:line="62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二</w:t>
      </w:r>
      <w:r>
        <w:rPr>
          <w:rFonts w:eastAsia="仿宋_GB2312"/>
          <w:sz w:val="32"/>
          <w:szCs w:val="32"/>
        </w:rPr>
        <w:t>)</w:t>
      </w:r>
      <w:r>
        <w:rPr>
          <w:rFonts w:hint="eastAsia" w:eastAsia="仿宋_GB2312"/>
          <w:sz w:val="32"/>
          <w:szCs w:val="32"/>
        </w:rPr>
        <w:t>评奖办法</w:t>
      </w:r>
    </w:p>
    <w:p>
      <w:pPr>
        <w:spacing w:line="62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个人奖：根据参赛教师的最终成绩排序，按比例依次确定。最终成绩由复赛成绩和决赛成绩折合计算（复赛成绩占</w:t>
      </w:r>
      <w:r>
        <w:rPr>
          <w:rFonts w:eastAsia="仿宋_GB2312"/>
          <w:sz w:val="32"/>
          <w:szCs w:val="32"/>
        </w:rPr>
        <w:t>50%</w:t>
      </w:r>
      <w:r>
        <w:rPr>
          <w:rFonts w:hint="eastAsia" w:eastAsia="仿宋_GB2312"/>
          <w:sz w:val="32"/>
          <w:szCs w:val="32"/>
        </w:rPr>
        <w:t>，决赛成绩占</w:t>
      </w:r>
      <w:r>
        <w:rPr>
          <w:rFonts w:eastAsia="仿宋_GB2312"/>
          <w:sz w:val="32"/>
          <w:szCs w:val="32"/>
        </w:rPr>
        <w:t>50%</w:t>
      </w:r>
      <w:r>
        <w:rPr>
          <w:rFonts w:hint="eastAsia" w:eastAsia="仿宋_GB2312"/>
          <w:sz w:val="32"/>
          <w:szCs w:val="32"/>
        </w:rPr>
        <w:t>）。若最终成绩相同，则依次以决赛成绩、复赛成绩排序；若所有环节成绩均相同则为并列名次；未参加决赛的参赛教师，按复赛成绩排序，若复赛成绩相同，则以复赛课堂教学视频及教学反思成绩排序，如仍相同则为并列名次。</w:t>
      </w:r>
    </w:p>
    <w:p>
      <w:pPr>
        <w:spacing w:line="6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．组织奖：综合学校赛事组织及参赛教师获奖等情况，经组委会集体研究确定。</w:t>
      </w:r>
    </w:p>
    <w:p>
      <w:pPr>
        <w:spacing w:line="62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w:t>
      </w:r>
      <w:r>
        <w:rPr>
          <w:rFonts w:hint="eastAsia" w:eastAsia="仿宋_GB2312"/>
          <w:sz w:val="32"/>
          <w:szCs w:val="32"/>
        </w:rPr>
        <w:t>奖励办法</w:t>
      </w:r>
    </w:p>
    <w:p>
      <w:pPr>
        <w:spacing w:line="620" w:lineRule="exact"/>
        <w:ind w:firstLine="640" w:firstLineChars="200"/>
        <w:rPr>
          <w:rFonts w:eastAsia="仿宋_GB2312"/>
          <w:sz w:val="32"/>
          <w:szCs w:val="32"/>
        </w:rPr>
      </w:pPr>
      <w:r>
        <w:rPr>
          <w:rFonts w:hint="eastAsia" w:eastAsia="仿宋_GB2312"/>
          <w:sz w:val="32"/>
          <w:szCs w:val="32"/>
        </w:rPr>
        <w:t>对竞赛获奖教师和单位，由主办单位发文通报并颁发相应的荣誉证书、奖牌或奖金，其中一等奖获奖教师由湖南省教育工会授予“湖南省普通高校教学能手”荣誉称号。</w:t>
      </w:r>
    </w:p>
    <w:p>
      <w:pPr>
        <w:spacing w:line="620" w:lineRule="exact"/>
        <w:ind w:firstLine="640" w:firstLineChars="200"/>
        <w:rPr>
          <w:rFonts w:hint="eastAsia" w:eastAsia="仿宋_GB2312"/>
          <w:sz w:val="32"/>
          <w:szCs w:val="32"/>
        </w:rPr>
      </w:pPr>
    </w:p>
    <w:p>
      <w:pPr>
        <w:spacing w:line="620" w:lineRule="exact"/>
        <w:ind w:firstLine="640" w:firstLineChars="200"/>
        <w:rPr>
          <w:rFonts w:hint="eastAsia" w:eastAsia="仿宋_GB2312"/>
          <w:sz w:val="32"/>
          <w:szCs w:val="32"/>
        </w:rPr>
      </w:pPr>
    </w:p>
    <w:p>
      <w:pPr>
        <w:spacing w:line="620" w:lineRule="exact"/>
        <w:ind w:firstLine="640" w:firstLineChars="200"/>
        <w:rPr>
          <w:rFonts w:hint="eastAsia" w:eastAsia="仿宋_GB2312"/>
          <w:sz w:val="32"/>
          <w:szCs w:val="32"/>
        </w:rPr>
      </w:pPr>
    </w:p>
    <w:p>
      <w:pPr>
        <w:widowControl/>
        <w:spacing w:line="300" w:lineRule="atLeast"/>
        <w:jc w:val="left"/>
        <w:rPr>
          <w:rFonts w:hint="eastAsia"/>
        </w:rPr>
      </w:pPr>
    </w:p>
    <w:p>
      <w:bookmarkStart w:id="0" w:name="_GoBack"/>
      <w:bookmarkEnd w:id="0"/>
    </w:p>
    <w:sectPr>
      <w:head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A2582"/>
    <w:rsid w:val="44BA2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2016-06-18T14:19:00Z</dcterms:created>
  <dc:creator>lz</dc:creator>
  <cp:lastModifiedBy>lz</cp:lastModifiedBy>
  <dcterms:modified xsi:type="dcterms:W3CDTF">2016-06-18T14:20:10Z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