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line="360" w:lineRule="exact"/>
        <w:jc w:val="center"/>
        <w:rPr>
          <w:rFonts w:ascii="仿宋" w:hAnsi="仿宋" w:eastAsia="仿宋" w:cs="仿宋"/>
          <w:b/>
          <w:color w:val="auto"/>
          <w:sz w:val="30"/>
          <w:szCs w:val="30"/>
        </w:rPr>
      </w:pPr>
    </w:p>
    <w:p>
      <w:pPr>
        <w:spacing w:beforeLines="20" w:afterLines="20" w:line="36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素质拓展课程学分修读明细表</w:t>
      </w:r>
    </w:p>
    <w:tbl>
      <w:tblPr>
        <w:tblStyle w:val="3"/>
        <w:tblW w:w="924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74"/>
        <w:gridCol w:w="1027"/>
        <w:gridCol w:w="1728"/>
        <w:gridCol w:w="1843"/>
        <w:gridCol w:w="425"/>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b/>
                <w:bCs/>
                <w:color w:val="auto"/>
                <w:kern w:val="0"/>
                <w:szCs w:val="21"/>
              </w:rPr>
            </w:pPr>
            <w:r>
              <w:rPr>
                <w:rFonts w:hint="eastAsia" w:ascii="Calibri" w:hAnsi="Calibri" w:eastAsia="仿宋_GB2312" w:cs="仿宋_GB2312"/>
                <w:b/>
                <w:bCs/>
                <w:color w:val="auto"/>
                <w:kern w:val="0"/>
                <w:szCs w:val="21"/>
              </w:rPr>
              <w:t>序号</w:t>
            </w:r>
          </w:p>
        </w:tc>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b/>
                <w:bCs/>
                <w:color w:val="auto"/>
                <w:kern w:val="0"/>
                <w:szCs w:val="21"/>
              </w:rPr>
            </w:pPr>
            <w:r>
              <w:rPr>
                <w:rFonts w:hint="eastAsia" w:ascii="Calibri" w:hAnsi="Calibri" w:eastAsia="仿宋_GB2312" w:cs="仿宋_GB2312"/>
                <w:b/>
                <w:bCs/>
                <w:color w:val="auto"/>
                <w:kern w:val="0"/>
                <w:szCs w:val="21"/>
              </w:rPr>
              <w:t>实践项目</w:t>
            </w: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b/>
                <w:bCs/>
                <w:color w:val="auto"/>
                <w:kern w:val="0"/>
                <w:szCs w:val="21"/>
              </w:rPr>
            </w:pPr>
            <w:r>
              <w:rPr>
                <w:rFonts w:hint="eastAsia" w:ascii="Calibri" w:hAnsi="Calibri" w:eastAsia="仿宋_GB2312" w:cs="仿宋_GB2312"/>
                <w:b/>
                <w:bCs/>
                <w:color w:val="auto"/>
                <w:kern w:val="0"/>
                <w:szCs w:val="21"/>
              </w:rPr>
              <w:t>实践内容</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b/>
                <w:bCs/>
                <w:color w:val="auto"/>
                <w:kern w:val="0"/>
                <w:szCs w:val="21"/>
              </w:rPr>
            </w:pPr>
            <w:r>
              <w:rPr>
                <w:rFonts w:hint="eastAsia" w:ascii="Calibri" w:hAnsi="Calibri" w:eastAsia="仿宋_GB2312" w:cs="仿宋_GB2312"/>
                <w:b/>
                <w:bCs/>
                <w:color w:val="auto"/>
                <w:kern w:val="0"/>
                <w:szCs w:val="21"/>
              </w:rPr>
              <w:t>学分</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b/>
                <w:bCs/>
                <w:color w:val="auto"/>
                <w:kern w:val="0"/>
                <w:szCs w:val="21"/>
              </w:rPr>
            </w:pPr>
            <w:r>
              <w:rPr>
                <w:rFonts w:hint="eastAsia" w:ascii="Calibri" w:hAnsi="Calibri" w:eastAsia="仿宋_GB2312" w:cs="仿宋_GB2312"/>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67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竞赛活动</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国际或国家级</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获第1-2名，或一等奖及以上</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6</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凭获奖证书、奖励文件核计学分，团队成员不分先后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获第3-5名，或二等奖</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5</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获第6-8名，或三等奖</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优胜奖、鼓励奖、参赛奖等</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省级</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获第1-2名，或一等奖及以上</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5</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获第3-5名，或二等奖</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获第6-8名，或三等奖</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优胜奖、鼓励奖、参赛奖等</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校级或市级</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获第1-2名，或一等奖及以上</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获第3-5名，或二等奖</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获第6-8名，或三等奖</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67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科研活动</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科研项目</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国家级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5</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凭结题证书或相关文件（参与教师的科研项目需项目主持人出具书面证明）核计学分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省部级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市级或校级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公开发表论文及美术、艺术设计作品</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CSCD、CSSCI期刊</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凭刊物发表原件核计每篇论文（作品）学分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省级以上期刊</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全国性报刊</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省级报刊</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市级、校级报刊</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著作</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出版专著（含长篇小说、文学作品集、音像制品、美术作品等）</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6</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凭原件按部核计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6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674"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图书阅读</w:t>
            </w:r>
          </w:p>
        </w:tc>
        <w:tc>
          <w:tcPr>
            <w:tcW w:w="10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线上</w:t>
            </w:r>
          </w:p>
        </w:tc>
        <w:tc>
          <w:tcPr>
            <w:tcW w:w="3571"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线上阅读积分大于7500</w:t>
            </w:r>
          </w:p>
        </w:tc>
        <w:tc>
          <w:tcPr>
            <w:tcW w:w="425"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2976"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凭图书馆阅读系统积分和借阅记录核计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6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p>
        </w:tc>
        <w:tc>
          <w:tcPr>
            <w:tcW w:w="674"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纸质</w:t>
            </w:r>
          </w:p>
        </w:tc>
        <w:tc>
          <w:tcPr>
            <w:tcW w:w="3571" w:type="dxa"/>
            <w:gridSpan w:val="2"/>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借阅图书≥40册</w:t>
            </w:r>
          </w:p>
        </w:tc>
        <w:tc>
          <w:tcPr>
            <w:tcW w:w="425"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p>
        </w:tc>
        <w:tc>
          <w:tcPr>
            <w:tcW w:w="2976"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67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创新性学习活动</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大学生创新创业训练计划项目</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国家级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主持人或排名第一人凭项目验收合格文件核计学分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省级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校级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项目策划、调研报告、作品设计、软件开发、作品翻译被县以上行政部门或企业认可、采用或推广</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凭县级以上政府和企业开具的有效证明核计学分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5</w:t>
            </w:r>
          </w:p>
        </w:tc>
        <w:tc>
          <w:tcPr>
            <w:tcW w:w="67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发明及专利</w:t>
            </w: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发明专利</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5</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凭专利证书核计学分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实用新型专利</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外观设计专利</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6</w:t>
            </w:r>
          </w:p>
        </w:tc>
        <w:tc>
          <w:tcPr>
            <w:tcW w:w="67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各类考试</w:t>
            </w:r>
          </w:p>
        </w:tc>
        <w:tc>
          <w:tcPr>
            <w:tcW w:w="27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雅思、托福考试</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雅思成绩</w:t>
            </w:r>
            <w:r>
              <w:rPr>
                <w:rFonts w:hint="eastAsia" w:ascii="Calibri" w:hAnsi="Calibri" w:eastAsia="仿宋_GB2312" w:cs="仿宋_GB2312"/>
                <w:color w:val="auto"/>
                <w:kern w:val="0"/>
                <w:szCs w:val="21"/>
              </w:rPr>
              <w:sym w:font="Symbol" w:char="F0B3"/>
            </w:r>
            <w:r>
              <w:rPr>
                <w:rFonts w:hint="eastAsia" w:ascii="Calibri" w:hAnsi="Calibri" w:eastAsia="仿宋_GB2312" w:cs="仿宋_GB2312"/>
                <w:color w:val="auto"/>
                <w:kern w:val="0"/>
                <w:szCs w:val="21"/>
              </w:rPr>
              <w:t>5.5分；托福成绩</w:t>
            </w:r>
            <w:r>
              <w:rPr>
                <w:rFonts w:hint="eastAsia" w:ascii="Calibri" w:hAnsi="Calibri" w:eastAsia="仿宋_GB2312" w:cs="仿宋_GB2312"/>
                <w:color w:val="auto"/>
                <w:kern w:val="0"/>
                <w:szCs w:val="21"/>
              </w:rPr>
              <w:sym w:font="Symbol" w:char="F0B3"/>
            </w:r>
            <w:r>
              <w:rPr>
                <w:rFonts w:hint="eastAsia" w:ascii="Calibri" w:hAnsi="Calibri" w:eastAsia="仿宋_GB2312" w:cs="仿宋_GB2312"/>
                <w:color w:val="auto"/>
                <w:kern w:val="0"/>
                <w:szCs w:val="21"/>
              </w:rPr>
              <w:t>80分</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凭证书核计学分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7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全国计算机技术与软件专业资格（水平）考试</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获系统分析师等高级证书者</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02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获软件设计师等中级证书者</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获程序员等初级证书者</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职业技能资格考试</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高师级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师级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高级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中级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初级</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7</w:t>
            </w:r>
          </w:p>
        </w:tc>
        <w:tc>
          <w:tcPr>
            <w:tcW w:w="674"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音乐表演与服饰表演</w:t>
            </w:r>
          </w:p>
        </w:tc>
        <w:tc>
          <w:tcPr>
            <w:tcW w:w="10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省级</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1场</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四年内音乐表演与服饰表演只能记4个以内学分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校级个人专场音乐会</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1场</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校园文化活动</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获得荣誉称号</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2976"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8</w:t>
            </w:r>
          </w:p>
        </w:tc>
        <w:tc>
          <w:tcPr>
            <w:tcW w:w="67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社会实践与创新创业活动</w:t>
            </w: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获全国社会实践优秀团队成员</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4</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凭获奖证书或相关文件核计学分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获省级及以上部门社会实践、志愿服务优秀个人等称号</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3</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校暑假社会实践十佳优秀个人</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2</w:t>
            </w: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参加“返家乡”社会实践、“三下乡”社会实践、社会调查、社区服务、社团活动、志愿者活动等一周以上，成绩突出，并提供3000字以上有一定价值的社会调查报告或心得体会</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凭有效证明和调查报告、心得体会核计学分，四年内社会实践等活动只能记6个以内学分。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p>
        </w:tc>
        <w:tc>
          <w:tcPr>
            <w:tcW w:w="45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其它创新创业活动</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1</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Calibri" w:hAnsi="Calibri" w:eastAsia="仿宋_GB2312" w:cs="仿宋_GB2312"/>
                <w:color w:val="auto"/>
                <w:kern w:val="0"/>
                <w:szCs w:val="21"/>
              </w:rPr>
            </w:pPr>
            <w:r>
              <w:rPr>
                <w:rFonts w:hint="eastAsia" w:ascii="Calibri" w:hAnsi="Calibri" w:eastAsia="仿宋_GB2312" w:cs="仿宋_GB2312"/>
                <w:color w:val="auto"/>
                <w:kern w:val="0"/>
                <w:szCs w:val="21"/>
              </w:rPr>
              <w:t>凭相关证明材料，经教务处、创新创业学院认定有效核计学分</w:t>
            </w:r>
          </w:p>
        </w:tc>
      </w:tr>
    </w:tbl>
    <w:p>
      <w:pPr>
        <w:autoSpaceDE w:val="0"/>
        <w:autoSpaceDN w:val="0"/>
        <w:adjustRightInd w:val="0"/>
        <w:snapToGrid w:val="0"/>
        <w:jc w:val="left"/>
        <w:rPr>
          <w:rFonts w:ascii="Calibri" w:hAnsi="Calibri" w:eastAsia="仿宋_GB2312" w:cs="仿宋_GB2312"/>
          <w:color w:val="auto"/>
          <w:kern w:val="0"/>
          <w:szCs w:val="21"/>
        </w:rPr>
      </w:pPr>
    </w:p>
    <w:p>
      <w:pPr>
        <w:autoSpaceDE w:val="0"/>
        <w:autoSpaceDN w:val="0"/>
        <w:adjustRightInd w:val="0"/>
        <w:snapToGrid w:val="0"/>
        <w:jc w:val="left"/>
        <w:rPr>
          <w:rFonts w:ascii="仿宋" w:hAnsi="仿宋" w:eastAsia="仿宋"/>
          <w:b/>
          <w:bCs/>
          <w:color w:val="auto"/>
          <w:sz w:val="24"/>
        </w:rPr>
      </w:pPr>
      <w:r>
        <w:rPr>
          <w:rFonts w:hint="eastAsia" w:ascii="Calibri" w:hAnsi="Calibri" w:eastAsia="仿宋_GB2312" w:cs="仿宋_GB2312"/>
          <w:b/>
          <w:bCs/>
          <w:color w:val="auto"/>
          <w:kern w:val="0"/>
          <w:szCs w:val="21"/>
        </w:rPr>
        <w:t>说明：各专业根据上表在实践创新环节的素质拓展部分设置相关课程和课程代码。学生在修业年限内，素质拓展学分累计不得低于8学分。</w:t>
      </w:r>
    </w:p>
    <w:p>
      <w:pPr>
        <w:rPr>
          <w:color w:val="auto"/>
        </w:rPr>
      </w:pPr>
    </w:p>
    <w:p>
      <w:pPr>
        <w:spacing w:line="540" w:lineRule="exact"/>
        <w:rPr>
          <w:rFonts w:ascii="仿宋" w:hAnsi="仿宋" w:eastAsia="仿宋"/>
          <w:color w:val="auto"/>
          <w:sz w:val="30"/>
          <w:szCs w:val="30"/>
        </w:rPr>
      </w:pPr>
    </w:p>
    <w:p>
      <w:bookmarkStart w:id="0" w:name="_GoBack"/>
      <w:bookmarkEnd w:id="0"/>
    </w:p>
    <w:sectPr>
      <w:footerReference r:id="rId3" w:type="default"/>
      <w:pgSz w:w="11906" w:h="16838"/>
      <w:pgMar w:top="1077" w:right="1247" w:bottom="107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409486"/>
    </w:sdtPr>
    <w:sdtContent>
      <w:p>
        <w:pPr>
          <w:pStyle w:val="2"/>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N2Q2NTQ5NmYwYTg4NzY1M2FlMDk4ZDU5ZWU5NTEifQ=="/>
  </w:docVars>
  <w:rsids>
    <w:rsidRoot w:val="6C2A7AA9"/>
    <w:rsid w:val="6C2A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2022-12-06T08:35:00Z</dcterms:created>
  <dc:creator>lint</dc:creator>
  <cp:lastModifiedBy>lint</cp:lastModifiedBy>
  <dcterms:modified xsi:type="dcterms:W3CDTF">2022-12-06T08:36:18Z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7FD49B032B754807B36A21D33CA7C116</vt:lpwstr>
  </property>
</Properties>
</file>