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5E874">
      <w:pPr>
        <w:widowControl/>
        <w:ind w:firstLine="281" w:firstLineChars="100"/>
        <w:rPr>
          <w:rFonts w:hint="eastAsia" w:ascii="宋体" w:hAnsi="宋体" w:eastAsia="宋体"/>
          <w:b/>
          <w:bCs/>
          <w:sz w:val="28"/>
          <w:szCs w:val="36"/>
        </w:rPr>
      </w:pPr>
      <w:r>
        <w:rPr>
          <w:rFonts w:ascii="宋体" w:hAnsi="宋体" w:eastAsia="宋体"/>
          <w:b/>
          <w:bCs/>
          <w:sz w:val="28"/>
          <w:szCs w:val="36"/>
        </w:rPr>
        <w:t>春</w:t>
      </w:r>
      <w:r>
        <w:rPr>
          <w:rFonts w:hint="eastAsia" w:ascii="宋体" w:hAnsi="宋体" w:eastAsia="宋体"/>
          <w:b/>
          <w:bCs/>
          <w:sz w:val="28"/>
          <w:szCs w:val="36"/>
        </w:rPr>
        <w:t>风</w:t>
      </w:r>
      <w:r>
        <w:rPr>
          <w:rFonts w:ascii="宋体" w:hAnsi="宋体" w:eastAsia="宋体"/>
          <w:b/>
          <w:bCs/>
          <w:sz w:val="28"/>
          <w:szCs w:val="36"/>
        </w:rPr>
        <w:t>启新程，“农”心育新人 —— 农林生态学院“开学第一课”</w:t>
      </w:r>
    </w:p>
    <w:p w14:paraId="13336004">
      <w:pPr>
        <w:widowControl/>
        <w:ind w:firstLine="560" w:firstLineChars="200"/>
        <w:rPr>
          <w:rFonts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  <w:t>春潮涌动处，扬帆奋进时。2026 年春季学期开学伊始，农林生态学院党总支书记章坤、院长李晓红带领班子成员、教学督导组及全体辅导员，延续 “开学第一课” 巡查传统，深入教学一线开展全方位督导，筑牢新学期教学质量根基。</w:t>
      </w:r>
    </w:p>
    <w:p w14:paraId="34F743EF">
      <w:pPr>
        <w:widowControl/>
        <w:ind w:firstLine="560" w:firstLineChars="200"/>
        <w:rPr>
          <w:rFonts w:hint="eastAsia" w:ascii="-webkit-standard" w:hAnsi="-webkit-standard"/>
          <w:color w:val="000000"/>
          <w:sz w:val="27"/>
          <w:szCs w:val="27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  <w:t>本次巡查构建 “领导统筹 + 督导专业 + 辅导员协同” 机制，全面巡查师生到课、课堂秩序、教学设备及教学计划落实情况，保障新学期教育教学平稳有序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  <w:t>，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  <w:t>筑牢教学 “安全线”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  <w:t>。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</w:p>
    <w:p w14:paraId="0CF5F06F">
      <w:pPr>
        <w:widowControl/>
        <w:ind w:firstLine="560" w:firstLineChars="200"/>
        <w:rPr>
          <w:rFonts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  <w:t>课堂上，教师精神饱满，采用案例教学、小组研讨等多元方式授课；学生专注认真、积极互动，尽显昂扬向上的青春风貌。巡课间隙，院领导与师生亲切交流，细致了解学习生活与课程实践安排。李晓红院长勉励同学们，以春季学期为蓄力突破关键期，坚定目标、勤学笃行，在专业实践中增长本领，在乡村振兴一线彰显担当。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  <w:t>同时，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  <w:t>充分肯定了教师们扎实的专业功底和严谨认真的教学态度，围绕课程体系优化、教学模式创新、实践育人深化等方面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/>
          <w14:ligatures w14:val="none"/>
        </w:rPr>
        <w:t>做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14:ligatures w14:val="none"/>
        </w:rPr>
        <w:t>出具体指导，着重强调，要积极运用各类新技术、新手段，不断丰富教学载体、提升课堂教学实效，持续推动教学质量稳步提升。</w:t>
      </w:r>
    </w:p>
    <w:p w14:paraId="5215862C">
      <w:pPr>
        <w:widowControl/>
        <w:ind w:firstLine="560" w:firstLineChars="200"/>
        <w:rPr>
          <w:rFonts w:hint="eastAsia" w:ascii="宋体" w:hAnsi="宋体" w:eastAsia="宋体" w:cs="宋体"/>
          <w:color w:val="0F1115"/>
          <w:sz w:val="28"/>
          <w:szCs w:val="28"/>
          <w:shd w:val="clear" w:color="auto" w:fill="FFFFFF"/>
          <w14:ligatures w14:val="none"/>
        </w:rPr>
      </w:pPr>
      <w:r>
        <w:rPr>
          <w:rFonts w:ascii="宋体" w:hAnsi="宋体" w:eastAsia="宋体" w:cs="宋体"/>
          <w:color w:val="0F1115"/>
          <w:sz w:val="28"/>
          <w:szCs w:val="28"/>
          <w:shd w:val="clear" w:color="auto" w:fill="FFFFFF"/>
          <w14:ligatures w14:val="none"/>
        </w:rPr>
        <w:t>骏马奔腾启新程，奋楫兴农向未来。新征程上，乘骏马奋进之风，坚守农林育人初心、勇担兴农时代使命，深耕“农工融合、农理协同”办学特色，以龙马精神砺行实干、以奋进姿态续写新篇，为服务农业农村现代化、全面推进乡村振兴注入强劲农林力量，书写马年兴农育人新答卷。</w:t>
      </w:r>
    </w:p>
    <w:p w14:paraId="1EC93A80">
      <w:pPr>
        <w:widowControl/>
        <w:rPr>
          <w:rFonts w:ascii="Times New Roman" w:hAnsi="Times New Roman" w:eastAsia="宋体" w:cs="Times New Roman"/>
          <w:sz w:val="22"/>
          <w:szCs w:val="28"/>
        </w:rPr>
      </w:pPr>
      <w:r>
        <w:rPr>
          <w:rFonts w:ascii="Times New Roman" w:hAnsi="Times New Roman" w:eastAsia="宋体" w:cs="Times New Roman"/>
          <w:sz w:val="22"/>
          <w:szCs w:val="28"/>
        </w:rPr>
        <w:drawing>
          <wp:inline distT="0" distB="0" distL="0" distR="0">
            <wp:extent cx="2627630" cy="179959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sz w:val="22"/>
          <w:szCs w:val="28"/>
        </w:rPr>
        <w:drawing>
          <wp:inline distT="0" distB="0" distL="0" distR="0">
            <wp:extent cx="2627630" cy="1799590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sz w:val="22"/>
          <w:szCs w:val="28"/>
        </w:rPr>
        <w:drawing>
          <wp:inline distT="0" distB="0" distL="0" distR="0">
            <wp:extent cx="2627630" cy="179959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sz w:val="22"/>
          <w:szCs w:val="28"/>
        </w:rPr>
        <w:drawing>
          <wp:inline distT="0" distB="0" distL="0" distR="0">
            <wp:extent cx="2627630" cy="1799590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7CA94">
      <w:pPr>
        <w:widowControl/>
        <w:rPr>
          <w:rFonts w:ascii="Times New Roman" w:hAnsi="Times New Roman" w:eastAsia="宋体" w:cs="Times New Roman"/>
          <w:sz w:val="22"/>
          <w:szCs w:val="28"/>
        </w:rPr>
      </w:pPr>
    </w:p>
    <w:p w14:paraId="60A8E0A4">
      <w:pPr>
        <w:widowControl/>
        <w:rPr>
          <w:rFonts w:ascii="Times New Roman" w:hAnsi="Times New Roman" w:eastAsia="宋体" w:cs="Times New Roman"/>
          <w:sz w:val="22"/>
          <w:szCs w:val="28"/>
        </w:rPr>
      </w:pPr>
    </w:p>
    <w:p w14:paraId="3B0556F7">
      <w:pPr>
        <w:widowControl/>
        <w:rPr>
          <w:rFonts w:hint="default" w:ascii="Times New Roman" w:hAnsi="Times New Roman" w:eastAsia="宋体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2"/>
          <w:szCs w:val="28"/>
          <w:lang w:val="en-US" w:eastAsia="zh-CN"/>
        </w:rPr>
        <w:t xml:space="preserve">                                     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2"/>
          <w:szCs w:val="28"/>
          <w:lang w:val="en-US" w:eastAsia="zh-CN"/>
        </w:rPr>
        <w:t>（图/文  刘益君）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-webkit-standard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E1C"/>
    <w:rsid w:val="00467DA2"/>
    <w:rsid w:val="00481E1C"/>
    <w:rsid w:val="009A6D63"/>
    <w:rsid w:val="00C663AA"/>
    <w:rsid w:val="00DB33EE"/>
    <w:rsid w:val="00DF047B"/>
    <w:rsid w:val="23DA54E1"/>
    <w:rsid w:val="307F0279"/>
    <w:rsid w:val="5808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362bb0f5-d7c8-413d-a775-6b4730575034</errorID>
      <errorWord>作出</errorWord>
      <group>L1_Word</group>
      <groupName>字词问题</groupName>
      <ability>L2_Typo</ability>
      <abilityName>字词错误</abilityName>
      <candidateList>
        <item>做出</item>
      </candidateList>
      <explain/>
      <paraID> CF5F06F</paraID>
      <start>198</start>
      <end>200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25deea1-6f30-4d77-8076-07a8001d4b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596</Words>
  <Characters>599</Characters>
  <Lines>4</Lines>
  <Paragraphs>1</Paragraphs>
  <TotalTime>4</TotalTime>
  <ScaleCrop>false</ScaleCrop>
  <LinksUpToDate>false</LinksUpToDate>
  <CharactersWithSpaces>673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2026-03-02T05:19:00Z</dcterms:created>
  <dc:creator>刘益君</dc:creator>
  <cp:lastModifiedBy>憨憨</cp:lastModifiedBy>
  <dcterms:modified xsi:type="dcterms:W3CDTF">2026-03-05T02:44:31Z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eyJoZGlkIjoiNTAwM2M0ZGFlMzE1Njk4NzRiMzQ3YjEzMDZkZGNmNzEiLCJ1c2VySWQiOiI2NzI3NDI2MjAifQ==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ACFC7157FBC749D68E8AF6E3733B515C_13</vt:lpwstr>
  </property>
</Properties>
</file>