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07C21F">
      <w:pPr>
        <w:snapToGrid w:val="0"/>
        <w:spacing w:line="360" w:lineRule="auto"/>
        <w:jc w:val="center"/>
        <w:rPr>
          <w:rFonts w:hint="eastAsia" w:ascii="黑体" w:eastAsia="黑体"/>
          <w:b/>
          <w:color w:val="242424"/>
          <w:sz w:val="32"/>
          <w:szCs w:val="32"/>
        </w:rPr>
      </w:pPr>
      <w:r>
        <w:rPr>
          <w:rFonts w:hint="eastAsia" w:ascii="黑体" w:eastAsia="黑体"/>
          <w:b/>
          <w:color w:val="242424"/>
          <w:sz w:val="32"/>
          <w:szCs w:val="32"/>
        </w:rPr>
        <w:t>安全护航，青春无恙</w:t>
      </w:r>
    </w:p>
    <w:p w14:paraId="C013606E">
      <w:pPr>
        <w:snapToGrid w:val="0"/>
        <w:spacing w:line="360" w:lineRule="auto"/>
        <w:jc w:val="center"/>
        <w:rPr>
          <w:rFonts w:hint="eastAsia"/>
          <w:sz w:val="32"/>
          <w:szCs w:val="32"/>
        </w:rPr>
      </w:pPr>
      <w:r>
        <w:rPr>
          <w:rFonts w:hint="eastAsia" w:ascii="黑体" w:eastAsia="黑体"/>
          <w:b/>
          <w:color w:val="242424"/>
          <w:sz w:val="32"/>
          <w:szCs w:val="32"/>
        </w:rPr>
        <w:t>农林生态学院开展全方位安全教育活动</w:t>
      </w:r>
    </w:p>
    <w:p w14:paraId="E53EA266">
      <w:pPr>
        <w:snapToGrid w:val="0"/>
        <w:spacing w:line="360" w:lineRule="auto"/>
        <w:rPr>
          <w:rFonts w:hint="eastAsia"/>
          <w:sz w:val="28"/>
        </w:rPr>
      </w:pPr>
      <w:r>
        <w:rPr>
          <w:rFonts w:hint="eastAsia"/>
          <w:sz w:val="28"/>
        </w:rPr>
        <w:drawing>
          <wp:inline distT="0" distB="0" distL="0" distR="0">
            <wp:extent cx="5143500" cy="3522980"/>
            <wp:effectExtent l="0" t="0" r="0" b="1270"/>
            <wp:docPr id="2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127F9">
      <w:pPr>
        <w:snapToGrid w:val="0"/>
        <w:spacing w:line="360" w:lineRule="auto"/>
        <w:rPr>
          <w:rFonts w:hint="eastAsia"/>
          <w:sz w:val="28"/>
        </w:rPr>
      </w:pPr>
      <w:r>
        <w:rPr>
          <w:rFonts w:hint="eastAsia"/>
          <w:sz w:val="28"/>
        </w:rPr>
        <w:drawing>
          <wp:inline distT="0" distB="0" distL="0" distR="0">
            <wp:extent cx="5143500" cy="3857625"/>
            <wp:effectExtent l="0" t="0" r="0" b="9525"/>
            <wp:docPr id="1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88D3">
      <w:pPr>
        <w:snapToGrid w:val="0"/>
        <w:spacing w:line="360" w:lineRule="auto"/>
        <w:rPr>
          <w:rFonts w:hint="eastAsia" w:ascii="宋体" w:eastAsia="宋体"/>
          <w:b w:val="0"/>
          <w:sz w:val="28"/>
        </w:rPr>
      </w:pPr>
      <w:r>
        <w:rPr>
          <w:rFonts w:hint="eastAsia" w:ascii="宋体" w:eastAsia="宋体"/>
          <w:b w:val="0"/>
          <w:sz w:val="28"/>
        </w:rPr>
        <w:drawing>
          <wp:inline distT="0" distB="0" distL="0" distR="0">
            <wp:extent cx="5143500" cy="3857625"/>
            <wp:effectExtent l="0" t="0" r="0" b="9525"/>
            <wp:docPr id="4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E0606">
      <w:pPr>
        <w:snapToGrid w:val="0"/>
        <w:spacing w:line="360" w:lineRule="auto"/>
        <w:rPr>
          <w:rFonts w:hint="eastAsia" w:ascii="宋体" w:eastAsia="宋体"/>
          <w:b w:val="0"/>
          <w:sz w:val="28"/>
        </w:rPr>
      </w:pPr>
      <w:r>
        <w:rPr>
          <w:rFonts w:hint="eastAsia" w:ascii="宋体" w:eastAsia="宋体"/>
          <w:b w:val="0"/>
          <w:sz w:val="28"/>
        </w:rPr>
        <w:drawing>
          <wp:inline distT="0" distB="0" distL="0" distR="0">
            <wp:extent cx="5143500" cy="3857625"/>
            <wp:effectExtent l="0" t="0" r="0" b="0"/>
            <wp:docPr id="5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27272">
      <w:pPr>
        <w:snapToGrid w:val="0"/>
        <w:spacing w:line="360" w:lineRule="auto"/>
        <w:ind w:firstLine="560" w:firstLineChars="200"/>
        <w:rPr>
          <w:rFonts w:hint="eastAsia" w:ascii="宋体" w:eastAsia="宋体"/>
          <w:sz w:val="28"/>
        </w:rPr>
      </w:pPr>
      <w:r>
        <w:rPr>
          <w:rFonts w:hint="eastAsia" w:ascii="宋体" w:eastAsia="宋体"/>
          <w:sz w:val="28"/>
        </w:rPr>
        <w:t>为切实增强学生的安全防范意识与应急处置能力，预防安全事故发生，营造安全、和谐、稳定的校园环境，农林生态学院严格按</w:t>
      </w:r>
      <w:r>
        <w:rPr>
          <w:rFonts w:hint="eastAsia" w:ascii="宋体" w:eastAsia="宋体"/>
          <w:sz w:val="28"/>
          <w:lang w:eastAsia="zh-CN"/>
        </w:rPr>
        <w:t>《关于开展2025级学生校园安全专题教育的通知》邵院保通〔2025〕11</w:t>
      </w:r>
      <w:r>
        <w:rPr>
          <w:rFonts w:hint="eastAsia" w:ascii="宋体" w:eastAsia="宋体"/>
          <w:sz w:val="28"/>
          <w:lang w:val="en-US" w:eastAsia="zh-CN"/>
        </w:rPr>
        <w:t>号文件</w:t>
      </w:r>
      <w:r>
        <w:rPr>
          <w:rFonts w:hint="eastAsia" w:ascii="宋体" w:eastAsia="宋体"/>
          <w:sz w:val="28"/>
        </w:rPr>
        <w:t>要求</w:t>
      </w:r>
      <w:r>
        <w:rPr>
          <w:rFonts w:hint="eastAsia" w:ascii="宋体" w:eastAsia="宋体"/>
          <w:sz w:val="28"/>
          <w:lang w:eastAsia="zh-CN"/>
        </w:rPr>
        <w:t>，</w:t>
      </w:r>
      <w:r>
        <w:rPr>
          <w:rFonts w:hint="eastAsia" w:ascii="宋体" w:eastAsia="宋体"/>
          <w:sz w:val="28"/>
        </w:rPr>
        <w:t>聚焦关键领域、紧盯重点风险，组织</w:t>
      </w:r>
      <w:r>
        <w:rPr>
          <w:rFonts w:hint="eastAsia" w:ascii="宋体" w:eastAsia="宋体"/>
          <w:sz w:val="28"/>
          <w:lang w:val="en-US" w:eastAsia="zh-CN"/>
        </w:rPr>
        <w:t>2025级新生</w:t>
      </w:r>
      <w:r>
        <w:rPr>
          <w:rFonts w:hint="eastAsia" w:ascii="宋体" w:eastAsia="宋体"/>
          <w:sz w:val="28"/>
        </w:rPr>
        <w:t>开展国家安全、消防安全、网络安全、交通安全、治安安全等专题校园安全教育。</w:t>
      </w:r>
    </w:p>
    <w:p w14:paraId="5AEDFF60">
      <w:pPr>
        <w:numPr>
          <w:ilvl w:val="0"/>
          <w:numId w:val="1"/>
        </w:numPr>
        <w:snapToGrid w:val="0"/>
        <w:spacing w:line="360" w:lineRule="auto"/>
        <w:ind w:firstLine="562" w:firstLineChars="200"/>
        <w:rPr>
          <w:rFonts w:hint="eastAsia" w:ascii="宋体" w:eastAsia="宋体"/>
          <w:sz w:val="28"/>
          <w:lang w:eastAsia="zh-CN"/>
        </w:rPr>
      </w:pPr>
      <w:r>
        <w:rPr>
          <w:rFonts w:hint="eastAsia" w:ascii="宋体" w:eastAsia="宋体"/>
          <w:b/>
          <w:bCs/>
          <w:sz w:val="28"/>
        </w:rPr>
        <w:t>国家安全：守护家国，青年有责</w:t>
      </w:r>
      <w:r>
        <w:rPr>
          <w:rFonts w:hint="eastAsia" w:ascii="宋体" w:eastAsia="宋体"/>
          <w:b/>
          <w:bCs/>
          <w:sz w:val="28"/>
          <w:lang w:eastAsia="zh-CN"/>
        </w:rPr>
        <w:t>。</w:t>
      </w:r>
      <w:r>
        <w:rPr>
          <w:rFonts w:hint="eastAsia" w:ascii="宋体" w:eastAsia="宋体"/>
          <w:sz w:val="28"/>
          <w:lang w:eastAsia="zh-CN"/>
        </w:rPr>
        <w:t>国家安全是实现国家利益</w:t>
      </w:r>
      <w:r>
        <w:rPr>
          <w:rFonts w:hint="eastAsia" w:ascii="宋体" w:eastAsia="宋体"/>
          <w:sz w:val="28"/>
          <w:lang w:val="en-US" w:eastAsia="zh-CN"/>
        </w:rPr>
        <w:t>和人民利益的</w:t>
      </w:r>
      <w:r>
        <w:rPr>
          <w:rFonts w:hint="eastAsia" w:ascii="宋体" w:eastAsia="宋体"/>
          <w:sz w:val="28"/>
          <w:lang w:eastAsia="zh-CN"/>
        </w:rPr>
        <w:t>最根本保障，关系人民幸福、社会发展进步、中华民族伟大复兴，国家安全有保障，社会经济才能不断发展，祖国才能更加繁荣富强。</w:t>
      </w:r>
      <w:r>
        <w:rPr>
          <w:rFonts w:hint="eastAsia" w:ascii="宋体" w:eastAsia="宋体"/>
          <w:sz w:val="28"/>
          <w:lang w:val="en-US" w:eastAsia="zh-CN"/>
        </w:rPr>
        <w:t>宣讲会上</w:t>
      </w:r>
      <w:r>
        <w:rPr>
          <w:rFonts w:hint="eastAsia" w:ascii="宋体" w:eastAsia="宋体"/>
          <w:sz w:val="28"/>
        </w:rPr>
        <w:t>通过剖析危害国家安全的典型案例，</w:t>
      </w:r>
      <w:r>
        <w:rPr>
          <w:rFonts w:hint="eastAsia" w:ascii="宋体" w:eastAsia="宋体"/>
          <w:sz w:val="28"/>
          <w:lang w:val="en-US" w:eastAsia="zh-CN"/>
        </w:rPr>
        <w:t>引导同学们</w:t>
      </w:r>
      <w:r>
        <w:rPr>
          <w:rFonts w:hint="eastAsia" w:ascii="宋体" w:eastAsia="宋体"/>
          <w:sz w:val="28"/>
          <w:lang w:eastAsia="zh-CN"/>
        </w:rPr>
        <w:t>树立国家安全意识，自觉关心、维护国</w:t>
      </w:r>
      <w:bookmarkStart w:id="0" w:name="_GoBack"/>
      <w:bookmarkEnd w:id="0"/>
      <w:r>
        <w:rPr>
          <w:rFonts w:hint="eastAsia" w:ascii="宋体" w:eastAsia="宋体"/>
          <w:sz w:val="28"/>
          <w:lang w:eastAsia="zh-CN"/>
        </w:rPr>
        <w:t>家安全，</w:t>
      </w:r>
      <w:r>
        <w:rPr>
          <w:rFonts w:hint="eastAsia" w:ascii="宋体" w:eastAsia="宋体"/>
          <w:sz w:val="28"/>
        </w:rPr>
        <w:t>引导同学们明确自身肩负的责任，掌握维护国家安全的基本方法，</w:t>
      </w:r>
      <w:r>
        <w:rPr>
          <w:rFonts w:hint="eastAsia" w:ascii="宋体" w:eastAsia="宋体"/>
          <w:sz w:val="28"/>
          <w:lang w:val="en-US" w:eastAsia="zh-CN"/>
        </w:rPr>
        <w:t>引导同学们</w:t>
      </w:r>
      <w:r>
        <w:rPr>
          <w:rFonts w:hint="eastAsia" w:ascii="宋体" w:eastAsia="宋体"/>
          <w:sz w:val="28"/>
          <w:lang w:eastAsia="zh-CN"/>
        </w:rPr>
        <w:t>抗拒各种危险诱惑，</w:t>
      </w:r>
      <w:r>
        <w:rPr>
          <w:rFonts w:hint="eastAsia" w:ascii="宋体" w:eastAsia="宋体"/>
          <w:sz w:val="28"/>
        </w:rPr>
        <w:t>树立“国家安全，人人有责”的意识。</w:t>
      </w:r>
      <w:r>
        <w:rPr>
          <w:rFonts w:hint="eastAsia" w:ascii="宋体" w:eastAsia="宋体"/>
          <w:sz w:val="28"/>
          <w:lang w:eastAsia="zh-CN"/>
        </w:rPr>
        <w:t>国家安全来之不易，国家安全和每个人息息相关，没有国家安全，便没有幸福生活。</w:t>
      </w:r>
    </w:p>
    <w:p w14:paraId="52432971">
      <w:pPr>
        <w:numPr>
          <w:ilvl w:val="0"/>
          <w:numId w:val="1"/>
        </w:numPr>
        <w:snapToGrid w:val="0"/>
        <w:spacing w:line="360" w:lineRule="auto"/>
        <w:ind w:left="0" w:leftChars="0" w:firstLine="562" w:firstLineChars="200"/>
        <w:rPr>
          <w:rFonts w:hint="eastAsia" w:ascii="宋体" w:eastAsia="宋体"/>
          <w:sz w:val="28"/>
          <w:lang w:val="en-US" w:eastAsia="zh-CN"/>
        </w:rPr>
      </w:pPr>
      <w:r>
        <w:rPr>
          <w:rFonts w:hint="eastAsia" w:ascii="宋体" w:eastAsia="宋体"/>
          <w:b/>
          <w:bCs/>
          <w:sz w:val="28"/>
          <w:lang w:val="en-US" w:eastAsia="zh-CN"/>
        </w:rPr>
        <w:t>消防安全：防患未然，掌握技能</w:t>
      </w:r>
      <w:r>
        <w:rPr>
          <w:rFonts w:hint="eastAsia" w:ascii="宋体" w:eastAsia="宋体"/>
          <w:sz w:val="28"/>
          <w:lang w:val="en-US" w:eastAsia="zh-CN"/>
        </w:rPr>
        <w:t>。结合近年来高校典型火灾案例，深入剖析了宿舍违规用电、实验室操作不当、教学楼消防通道堵塞等常见消防安全隐患的危害与成因。进一步强化师生消防安全意识，提升应急避险与自救互救能力，让‘人人讲安全、个个会应急’的理念深入人心。学院建立消防安全常态化教育机制，定期开展消防演练与知识培训，持续完善校园消防设施，切实筑牢校园安全“防火墙”，为师生营造更加安全、和谐的学习工作环境。</w:t>
      </w:r>
    </w:p>
    <w:p w14:paraId="46466F9E">
      <w:pPr>
        <w:numPr>
          <w:ilvl w:val="0"/>
          <w:numId w:val="1"/>
        </w:numPr>
        <w:snapToGrid w:val="0"/>
        <w:spacing w:line="360" w:lineRule="auto"/>
        <w:ind w:left="0" w:leftChars="0" w:firstLine="562" w:firstLineChars="200"/>
        <w:rPr>
          <w:rFonts w:hint="eastAsia" w:ascii="宋体" w:eastAsia="宋体"/>
          <w:b w:val="0"/>
          <w:sz w:val="28"/>
          <w:lang w:eastAsia="zh-CN"/>
        </w:rPr>
      </w:pPr>
      <w:r>
        <w:rPr>
          <w:rFonts w:hint="eastAsia" w:ascii="宋体" w:eastAsia="宋体"/>
          <w:b/>
          <w:bCs/>
          <w:sz w:val="28"/>
        </w:rPr>
        <w:t>网络安全：慧眼辨诈，心筑藩篱</w:t>
      </w:r>
      <w:r>
        <w:rPr>
          <w:rFonts w:hint="eastAsia" w:ascii="宋体" w:eastAsia="宋体"/>
          <w:b w:val="0"/>
          <w:sz w:val="28"/>
          <w:lang w:eastAsia="zh-CN"/>
        </w:rPr>
        <w:t>。</w:t>
      </w:r>
      <w:r>
        <w:rPr>
          <w:rFonts w:hint="eastAsia" w:ascii="宋体" w:eastAsia="宋体"/>
          <w:b w:val="0"/>
          <w:sz w:val="28"/>
          <w:lang w:val="en-US" w:eastAsia="zh-CN"/>
        </w:rPr>
        <w:t>网络安全围绕围绕 “个人信息保护”“校园网络安全风险防范”“网络违法犯罪案例解析”三大主题展开，</w:t>
      </w:r>
      <w:r>
        <w:rPr>
          <w:rFonts w:hint="eastAsia" w:ascii="宋体" w:eastAsia="宋体"/>
          <w:b w:val="0"/>
          <w:sz w:val="28"/>
        </w:rPr>
        <w:t>针对学生群体易遭遇的诈骗陷阱，深入剖析“校园贷”“刷单返利”等典型案例，能让大家更直观地感受网络诈骗的隐蔽性，提高警惕性</w:t>
      </w:r>
      <w:r>
        <w:rPr>
          <w:rFonts w:hint="eastAsia" w:ascii="宋体" w:eastAsia="宋体"/>
          <w:b w:val="0"/>
          <w:sz w:val="28"/>
          <w:lang w:eastAsia="zh-CN"/>
        </w:rPr>
        <w:t>，</w:t>
      </w:r>
      <w:r>
        <w:rPr>
          <w:rFonts w:hint="eastAsia" w:ascii="宋体" w:eastAsia="宋体"/>
          <w:b w:val="0"/>
          <w:sz w:val="28"/>
        </w:rPr>
        <w:t>揭露电信诈骗危害，同时明确网络违规行为的处理规定，提升全校师生网络安全防范意识，筑牢校园网络安全防线</w:t>
      </w:r>
      <w:r>
        <w:rPr>
          <w:rFonts w:hint="eastAsia" w:ascii="宋体" w:eastAsia="宋体"/>
          <w:b w:val="0"/>
          <w:sz w:val="28"/>
          <w:lang w:eastAsia="zh-CN"/>
        </w:rPr>
        <w:t>。</w:t>
      </w:r>
    </w:p>
    <w:p w14:paraId="2F0DCF2A">
      <w:pPr>
        <w:numPr>
          <w:ilvl w:val="0"/>
          <w:numId w:val="1"/>
        </w:numPr>
        <w:snapToGrid w:val="0"/>
        <w:spacing w:line="360" w:lineRule="auto"/>
        <w:ind w:left="0" w:leftChars="0" w:firstLine="562" w:firstLineChars="200"/>
        <w:rPr>
          <w:rFonts w:hint="eastAsia"/>
          <w:sz w:val="28"/>
        </w:rPr>
      </w:pPr>
      <w:r>
        <w:rPr>
          <w:rFonts w:hint="eastAsia" w:ascii="宋体" w:eastAsia="宋体"/>
          <w:b/>
          <w:bCs/>
          <w:sz w:val="28"/>
        </w:rPr>
        <w:t>交通安全：谨行致远，安渡旅途</w:t>
      </w:r>
      <w:r>
        <w:rPr>
          <w:rFonts w:hint="eastAsia" w:ascii="宋体" w:eastAsia="宋体"/>
          <w:b/>
          <w:bCs/>
          <w:sz w:val="28"/>
          <w:lang w:eastAsia="zh-CN"/>
        </w:rPr>
        <w:t>。</w:t>
      </w:r>
      <w:r>
        <w:rPr>
          <w:rFonts w:hint="eastAsia" w:ascii="宋体" w:eastAsia="宋体"/>
          <w:b w:val="0"/>
          <w:sz w:val="28"/>
          <w:lang w:val="en-US" w:eastAsia="zh-CN"/>
        </w:rPr>
        <w:t>讲座</w:t>
      </w:r>
      <w:r>
        <w:rPr>
          <w:rFonts w:hint="eastAsia" w:ascii="宋体" w:eastAsia="宋体"/>
          <w:b w:val="0"/>
          <w:sz w:val="28"/>
        </w:rPr>
        <w:t>围绕“校园周边交通风险识别”“常见交通违法行为危害”“安全出行实用技巧”三大核心内容展开讲解</w:t>
      </w:r>
      <w:r>
        <w:rPr>
          <w:rFonts w:hint="eastAsia" w:ascii="宋体" w:eastAsia="宋体"/>
          <w:b w:val="0"/>
          <w:sz w:val="28"/>
          <w:lang w:eastAsia="zh-CN"/>
        </w:rPr>
        <w:t>，在“校园周边交通风险识别” 环节，详细分析了学校门口斑马线、周边商圈路段、公交站点等重点区域的交通隐患，提醒师生在上下课高峰期、节假日出行时务必提高警惕，注意避让车辆。</w:t>
      </w:r>
      <w:r>
        <w:rPr>
          <w:rFonts w:hint="eastAsia" w:ascii="宋体" w:eastAsia="宋体"/>
          <w:b w:val="0"/>
          <w:sz w:val="28"/>
        </w:rPr>
        <w:t>详细解读了</w:t>
      </w:r>
      <w:r>
        <w:rPr>
          <w:rFonts w:hint="eastAsia" w:ascii="宋体" w:eastAsia="宋体"/>
          <w:b w:val="0"/>
          <w:sz w:val="28"/>
          <w:lang w:val="en-US" w:eastAsia="zh-CN"/>
        </w:rPr>
        <w:t>校园内</w:t>
      </w:r>
      <w:r>
        <w:rPr>
          <w:rFonts w:hint="eastAsia" w:ascii="宋体" w:eastAsia="宋体"/>
          <w:b w:val="0"/>
          <w:sz w:val="28"/>
        </w:rPr>
        <w:t>“禁摩限电”等专项要求与交通法规。</w:t>
      </w:r>
      <w:r>
        <w:rPr>
          <w:rFonts w:hint="eastAsia" w:ascii="宋体" w:eastAsia="宋体"/>
          <w:b w:val="0"/>
          <w:sz w:val="28"/>
          <w:lang w:eastAsia="zh-CN"/>
        </w:rPr>
        <w:t>结合真实事故案例，深入剖析了这些违法行为可能带来的严重后果，用“血的教训” 敲响安全警钟，深刻认识到 “小疏忽”背后的 “大风险”。</w:t>
      </w:r>
    </w:p>
    <w:p w14:paraId="03647B73">
      <w:pPr>
        <w:numPr>
          <w:ilvl w:val="0"/>
          <w:numId w:val="1"/>
        </w:numPr>
        <w:snapToGrid w:val="0"/>
        <w:spacing w:line="360" w:lineRule="auto"/>
        <w:ind w:left="0" w:leftChars="0" w:firstLine="562" w:firstLineChars="200"/>
        <w:rPr>
          <w:rFonts w:hint="eastAsia"/>
          <w:sz w:val="28"/>
        </w:rPr>
      </w:pPr>
      <w:r>
        <w:rPr>
          <w:rFonts w:hint="eastAsia" w:ascii="宋体" w:eastAsia="宋体"/>
          <w:b/>
          <w:bCs/>
          <w:sz w:val="28"/>
        </w:rPr>
        <w:t>治安安全：知法守法，理性处事</w:t>
      </w:r>
      <w:r>
        <w:rPr>
          <w:rFonts w:hint="eastAsia" w:ascii="宋体" w:eastAsia="宋体"/>
          <w:b/>
          <w:bCs/>
          <w:sz w:val="28"/>
          <w:lang w:eastAsia="zh-CN"/>
        </w:rPr>
        <w:t>。</w:t>
      </w:r>
      <w:r>
        <w:rPr>
          <w:rFonts w:hint="eastAsia" w:ascii="宋体" w:eastAsia="宋体"/>
          <w:sz w:val="28"/>
        </w:rPr>
        <w:t>安全是成长的基石，是求学的底线</w:t>
      </w:r>
      <w:r>
        <w:rPr>
          <w:rFonts w:hint="eastAsia" w:ascii="宋体" w:eastAsia="宋体"/>
          <w:sz w:val="28"/>
          <w:lang w:eastAsia="zh-CN"/>
        </w:rPr>
        <w:t>，</w:t>
      </w:r>
      <w:r>
        <w:rPr>
          <w:rFonts w:hint="eastAsia" w:ascii="宋体" w:eastAsia="宋体"/>
          <w:sz w:val="28"/>
        </w:rPr>
        <w:t>为切实增强全院学子的安全防范意识与自我保护能力</w:t>
      </w:r>
      <w:r>
        <w:rPr>
          <w:rFonts w:hint="eastAsia" w:ascii="宋体" w:eastAsia="宋体"/>
          <w:sz w:val="28"/>
          <w:lang w:eastAsia="zh-CN"/>
        </w:rPr>
        <w:t>，</w:t>
      </w:r>
      <w:r>
        <w:rPr>
          <w:rFonts w:hint="eastAsia" w:ascii="宋体" w:eastAsia="宋体"/>
          <w:sz w:val="28"/>
          <w:lang w:val="en-US" w:eastAsia="zh-CN"/>
        </w:rPr>
        <w:t>开展治安安全教育讲座，</w:t>
      </w:r>
      <w:r>
        <w:rPr>
          <w:rFonts w:hint="eastAsia" w:ascii="宋体" w:eastAsia="宋体"/>
          <w:b w:val="0"/>
          <w:sz w:val="28"/>
        </w:rPr>
        <w:t>针对校园盗窃问题，提醒同学们要提高警惕，妥善保管个人财物，尤其是手机、电脑、钱包等贵重物品，离开宿舍或教室时务必锁好门窗，不在公共场合随意放置物品。围绕盗窃、寻衅滋事等</w:t>
      </w:r>
      <w:r>
        <w:rPr>
          <w:rFonts w:hint="eastAsia" w:ascii="宋体" w:eastAsia="宋体"/>
          <w:b w:val="0"/>
          <w:sz w:val="28"/>
          <w:lang w:val="en-US" w:eastAsia="zh-CN"/>
        </w:rPr>
        <w:t>真实</w:t>
      </w:r>
      <w:r>
        <w:rPr>
          <w:rFonts w:hint="eastAsia" w:ascii="宋体" w:eastAsia="宋体"/>
          <w:b w:val="0"/>
          <w:sz w:val="28"/>
        </w:rPr>
        <w:t>治安案件，阐明违法违规行为的严重后果，指导同学们在遇到矛盾纠纷时保持理性，学会妥善处理，强化法治观念。</w:t>
      </w:r>
    </w:p>
    <w:p w14:paraId="157D1D1F">
      <w:pPr>
        <w:snapToGrid w:val="0"/>
        <w:spacing w:line="360" w:lineRule="auto"/>
        <w:ind w:firstLine="840" w:firstLineChars="300"/>
        <w:rPr>
          <w:rFonts w:hint="eastAsia"/>
          <w:sz w:val="28"/>
        </w:rPr>
      </w:pPr>
      <w:r>
        <w:rPr>
          <w:rFonts w:hint="eastAsia" w:ascii="宋体" w:eastAsia="宋体"/>
          <w:b w:val="0"/>
          <w:sz w:val="28"/>
          <w:lang w:val="en-US" w:eastAsia="zh-CN"/>
        </w:rPr>
        <w:t>农林生态学院围绕“国家安全 消防安全 网络安全 交通安全 治安安全”主题开展安全讲座，有效提升了学生安全防范意识和自我保护能力，为构建平安、和谐、稳定的校园环境奠定了坚实的基础。</w:t>
      </w:r>
      <w:r>
        <w:rPr>
          <w:rFonts w:hint="eastAsia" w:ascii="宋体" w:eastAsia="宋体"/>
          <w:b w:val="0"/>
          <w:sz w:val="28"/>
        </w:rPr>
        <w:t>我</w:t>
      </w:r>
      <w:r>
        <w:rPr>
          <w:rFonts w:hint="eastAsia" w:ascii="宋体" w:eastAsia="宋体"/>
          <w:b w:val="0"/>
          <w:sz w:val="28"/>
          <w:lang w:val="en-US" w:eastAsia="zh-CN"/>
        </w:rPr>
        <w:t>院</w:t>
      </w:r>
      <w:r>
        <w:rPr>
          <w:rFonts w:hint="eastAsia" w:ascii="宋体" w:eastAsia="宋体"/>
          <w:b w:val="0"/>
          <w:sz w:val="28"/>
        </w:rPr>
        <w:t>将继续常态化开展校园安全宣传教育活动，不断创新宣传形式、丰富宣传内容，切实筑牢校园安全防线，守护全体师生的生命财产安全。</w:t>
      </w:r>
    </w:p>
    <w:p w14:paraId="45CAA4B2">
      <w:pPr>
        <w:numPr>
          <w:numId w:val="0"/>
        </w:numPr>
        <w:snapToGrid w:val="0"/>
        <w:spacing w:line="360" w:lineRule="auto"/>
        <w:rPr>
          <w:rFonts w:hint="eastAsia" w:ascii="宋体" w:eastAsia="宋体"/>
          <w:b w:val="0"/>
          <w:sz w:val="28"/>
          <w:lang w:val="en-US" w:eastAsia="zh-CN"/>
        </w:rPr>
      </w:pPr>
    </w:p>
    <w:p w14:paraId="25109097">
      <w:pPr>
        <w:numPr>
          <w:numId w:val="0"/>
        </w:numPr>
        <w:snapToGrid w:val="0"/>
        <w:spacing w:line="360" w:lineRule="auto"/>
        <w:jc w:val="right"/>
        <w:rPr>
          <w:rFonts w:hint="eastAsia" w:ascii="宋体" w:eastAsia="宋体"/>
          <w:b w:val="0"/>
          <w:sz w:val="28"/>
          <w:lang w:val="en-US" w:eastAsia="zh-CN"/>
        </w:rPr>
      </w:pPr>
      <w:r>
        <w:rPr>
          <w:rFonts w:hint="eastAsia" w:ascii="宋体" w:eastAsia="宋体"/>
          <w:b w:val="0"/>
          <w:sz w:val="28"/>
          <w:lang w:val="en-US" w:eastAsia="zh-CN"/>
        </w:rPr>
        <w:t>邵阳学院农林生态学院</w:t>
      </w:r>
    </w:p>
    <w:p w14:paraId="6865B1E4">
      <w:pPr>
        <w:numPr>
          <w:numId w:val="0"/>
        </w:numPr>
        <w:wordWrap w:val="0"/>
        <w:snapToGrid w:val="0"/>
        <w:spacing w:line="360" w:lineRule="auto"/>
        <w:jc w:val="right"/>
        <w:rPr>
          <w:rFonts w:hint="eastAsia" w:ascii="宋体" w:eastAsia="宋体"/>
          <w:b w:val="0"/>
          <w:sz w:val="28"/>
        </w:rPr>
      </w:pPr>
      <w:r>
        <w:rPr>
          <w:rFonts w:hint="eastAsia" w:ascii="宋体" w:eastAsia="宋体"/>
          <w:b w:val="0"/>
          <w:sz w:val="28"/>
          <w:lang w:val="en-US" w:eastAsia="zh-CN"/>
        </w:rPr>
        <w:t xml:space="preserve">2025年10月20日 </w:t>
      </w:r>
    </w:p>
    <w:sectPr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 Emoji">
    <w:panose1 w:val="020B0502040204020203"/>
    <w:charset w:val="00"/>
    <w:family w:val="auto"/>
    <w:pitch w:val="default"/>
    <w:sig w:usb0="00000001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AA4C211"/>
    <w:multiLevelType w:val="singleLevel"/>
    <w:tmpl w:val="EAA4C21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2569"/>
    <w:rsid w:val="000E1712"/>
    <w:rsid w:val="0028768E"/>
    <w:rsid w:val="005533ED"/>
    <w:rsid w:val="00702569"/>
    <w:rsid w:val="0089293C"/>
    <w:rsid w:val="00B176CB"/>
    <w:rsid w:val="00F54202"/>
    <w:rsid w:val="55391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99" w:semiHidden="0" w:name="heading 1"/>
    <w:lsdException w:uiPriority="99" w:name="heading 2"/>
    <w:lsdException w:uiPriority="99" w:name="heading 3"/>
    <w:lsdException w:uiPriority="99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uiPriority="99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99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unhideWhenUsed="0" w:uiPriority="99" w:semiHidden="0" w:name="Strong"/>
    <w:lsdException w:unhideWhenUsed="0" w:uiPriority="99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84"/>
      <w:szCs w:val="24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2000"/>
                <a:satMod val="103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739</Words>
  <Characters>739</Characters>
  <Lines>0</Lines>
  <Paragraphs>0</Paragraphs>
  <TotalTime>6</TotalTime>
  <ScaleCrop>false</ScaleCrop>
  <LinksUpToDate>false</LinksUpToDate>
  <CharactersWithSpaces>842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2020-07-21T13:27:00Z</dcterms:created>
  <dc:creator>T148778</dc:creator>
  <cp:lastModifiedBy>憨憨</cp:lastModifiedBy>
  <dcterms:modified xsi:type="dcterms:W3CDTF">2025-10-21T08:32:54Z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eyJoZGlkIjoiNTAwM2M0ZGFlMzE1Njk4NzRiMzQ3YjEzMDZkZGNmNzEiLCJ1c2VySWQiOiI2NzI3NDI2MjAifQ==</vt:lpwstr>
  </property>
  <property fmtid="{D5CDD505-2E9C-101B-9397-08002B2CF9AE}" pid="3" name="KSOProductBuildVer">
    <vt:lpwstr>2052-12.1.0.23125</vt:lpwstr>
  </property>
  <property fmtid="{D5CDD505-2E9C-101B-9397-08002B2CF9AE}" pid="4" name="ICV">
    <vt:lpwstr>F4F6140AF61F454FBAF35FEA9C0B2BCD_13</vt:lpwstr>
  </property>
</Properties>
</file>