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C" w:rsidRDefault="009740CC" w:rsidP="009740CC">
      <w:pPr>
        <w:spacing w:line="400" w:lineRule="exact"/>
        <w:rPr>
          <w:rFonts w:ascii="仿宋_GB2312" w:hAnsi="Arial" w:cs="Arial"/>
          <w:b/>
          <w:kern w:val="0"/>
          <w:sz w:val="36"/>
          <w:szCs w:val="21"/>
        </w:rPr>
      </w:pPr>
      <w:r>
        <w:rPr>
          <w:rFonts w:ascii="仿宋_GB2312" w:hAnsi="Arial" w:cs="Arial" w:hint="eastAsia"/>
          <w:kern w:val="0"/>
          <w:sz w:val="24"/>
        </w:rPr>
        <w:t>附表</w:t>
      </w:r>
      <w:r>
        <w:rPr>
          <w:rFonts w:ascii="仿宋_GB2312" w:hAnsi="Arial" w:cs="Arial" w:hint="eastAsia"/>
          <w:kern w:val="0"/>
          <w:sz w:val="24"/>
        </w:rPr>
        <w:t>1</w:t>
      </w:r>
      <w:r>
        <w:rPr>
          <w:rFonts w:ascii="仿宋_GB2312" w:hAnsi="Arial" w:cs="Arial" w:hint="eastAsia"/>
          <w:kern w:val="0"/>
          <w:sz w:val="24"/>
        </w:rPr>
        <w:t>：</w:t>
      </w:r>
      <w:r>
        <w:rPr>
          <w:rFonts w:ascii="仿宋_GB2312" w:hAnsi="Arial" w:cs="Arial" w:hint="eastAsia"/>
          <w:b/>
          <w:kern w:val="0"/>
          <w:sz w:val="36"/>
          <w:szCs w:val="21"/>
        </w:rPr>
        <w:t xml:space="preserve">              </w:t>
      </w:r>
      <w:r>
        <w:rPr>
          <w:rFonts w:ascii="仿宋_GB2312" w:hAnsi="Arial" w:cs="Arial" w:hint="eastAsia"/>
          <w:b/>
          <w:kern w:val="0"/>
          <w:sz w:val="32"/>
          <w:szCs w:val="32"/>
        </w:rPr>
        <w:t>邵阳学院</w:t>
      </w:r>
      <w:r>
        <w:rPr>
          <w:rFonts w:ascii="仿宋_GB2312" w:hAnsi="Arial" w:cs="Arial" w:hint="eastAsia"/>
          <w:b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Arial" w:cs="Arial" w:hint="eastAsia"/>
          <w:b/>
          <w:kern w:val="0"/>
          <w:sz w:val="32"/>
          <w:szCs w:val="32"/>
        </w:rPr>
        <w:t>届本科毕业设计（论文）前期工作检查表</w:t>
      </w:r>
    </w:p>
    <w:p w:rsidR="009740CC" w:rsidRDefault="009740CC" w:rsidP="009740CC">
      <w:pPr>
        <w:pStyle w:val="4"/>
        <w:tabs>
          <w:tab w:val="left" w:pos="3060"/>
          <w:tab w:val="left" w:pos="3240"/>
        </w:tabs>
        <w:spacing w:line="290" w:lineRule="auto"/>
        <w:jc w:val="both"/>
        <w:rPr>
          <w:rFonts w:ascii="仿宋_GB2312" w:hAnsi="Arial" w:cs="Arial" w:hint="eastAsia"/>
          <w:sz w:val="28"/>
          <w:szCs w:val="21"/>
        </w:rPr>
      </w:pPr>
      <w:r>
        <w:rPr>
          <w:rFonts w:hint="eastAsia"/>
        </w:rPr>
        <w:t>院（系）：                      专业：                          填表人：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30"/>
        <w:gridCol w:w="6925"/>
        <w:gridCol w:w="1832"/>
        <w:gridCol w:w="1158"/>
        <w:gridCol w:w="2606"/>
      </w:tblGrid>
      <w:tr w:rsidR="009740CC" w:rsidTr="009740CC">
        <w:trPr>
          <w:cantSplit/>
          <w:trHeight w:val="47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项目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评价标准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检查方法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评 分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存在的问题与建议</w:t>
            </w:r>
          </w:p>
        </w:tc>
      </w:tr>
      <w:tr w:rsidR="009740CC" w:rsidTr="009740CC">
        <w:trPr>
          <w:cantSplit/>
          <w:trHeight w:val="47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分值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指标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教学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管理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（15分）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成立了系（院）毕业设计（论文）领导小组（1分），分工明确（2分）；制定系（院）和教研室毕业设计（论文）工作计划。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查看工作计划等文件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2分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制定专业毕业设计（论文）教学大纲（2分）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查看教学大纲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4分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有详细的毕业设计（论文）工作计划安排（2分）。工作安排科学、合理，措施得力（2分）。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查看工作计划、实施细则文件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在校外单位做毕业设计（论文）的学生是否填写《邵阳学院校外毕业设计（论文）申请表》（2分），并签署承诺书（1分），开展安全意识教育。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查看申请表、承诺书等文件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3分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及时组织有关教师和学生召开毕业设计（论文）工作动员会，认真学习毕业设计（论文）有关管理规定及质量标准。（3分）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查看会议通知、会议记录等文件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27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选题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情况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（35分）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adjustRightInd w:val="0"/>
              <w:snapToGrid w:val="0"/>
              <w:spacing w:before="100" w:after="100"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6分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指导教师提出课题，填写课题申报表，教研室评审、教学单位组织审核（3分）。选题程序严格，课题申报表、课题汇总表比较齐全、规范（3分）。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查看毕业设计（论文）领导小组工作记录，课题申报表，教研室审题记录，毕业设计（论文）汇总表等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63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选题符合专业培养目标，体现综合训练，有利于培养学生创新能力、实践能力和独立工作能力（5分）。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58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8分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结合教学、科研、生产、实验室建设等实际需要（4分）；符合社会发展、科学技术进步实际需要的题目≥80%（4分）。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难度及份量适当，学生能得到全面的训练（5分）。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每人一题，且备选题目总数大于学生人数10%（含10%）以上（5分）。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495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6分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近三年同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</w:rPr>
              <w:t>一指导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</w:rPr>
              <w:t>教师课题内容不重复（6分）。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</w:tbl>
    <w:p w:rsidR="009740CC" w:rsidRDefault="009740CC" w:rsidP="009740CC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735"/>
        <w:gridCol w:w="6930"/>
        <w:gridCol w:w="1816"/>
        <w:gridCol w:w="1150"/>
        <w:gridCol w:w="2600"/>
      </w:tblGrid>
      <w:tr w:rsidR="009740CC" w:rsidTr="009740CC">
        <w:trPr>
          <w:cantSplit/>
          <w:trHeight w:val="51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lastRenderedPageBreak/>
              <w:t>项目</w:t>
            </w:r>
          </w:p>
        </w:tc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评价标准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检查方法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评 分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存在的问题与建议</w:t>
            </w:r>
          </w:p>
        </w:tc>
      </w:tr>
      <w:tr w:rsidR="009740CC" w:rsidTr="009740CC">
        <w:trPr>
          <w:cantSplit/>
          <w:trHeight w:val="48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分值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jc w:val="center"/>
              <w:rPr>
                <w:rFonts w:hAnsi="Times New Roman"/>
                <w:b/>
                <w:snapToGrid w:val="0"/>
                <w:szCs w:val="32"/>
              </w:rPr>
            </w:pPr>
            <w:r>
              <w:rPr>
                <w:rFonts w:hAnsi="Times New Roman" w:hint="eastAsia"/>
                <w:b/>
                <w:snapToGrid w:val="0"/>
                <w:szCs w:val="32"/>
              </w:rPr>
              <w:t>指标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9740CC" w:rsidTr="009740CC">
        <w:trPr>
          <w:cantSplit/>
          <w:trHeight w:val="753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指导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老师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（15分）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指导教师均具有实际工程（科研）背景和中级（含中级）以上职称、工程技术人员 （5分）。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设计（论文）情况汇总表、指导教师名单（含职称）表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line="240" w:lineRule="exact"/>
              <w:jc w:val="both"/>
              <w:rPr>
                <w:rFonts w:hAnsi="Times New Roman"/>
                <w:snapToGrid w:val="0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每位指导教师指导学生数≤9人（5分）。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采取多种方式与学生进行联系，对学生查阅资料、开展调研、准备实验、确认方案、撰写开题报告等进行了细致的指导（5分）。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查看指导教师《实践教学笔记本》、对学生进行调查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任务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下达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（10分）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7分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任务书填写项目齐全（1分）、任务要求明确（2分），切合实际的进度计划（2分），无雷同现象（1分）。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任务书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（抽查）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3分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任务书按计划全部下达给学生（3分）。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任务书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（抽查）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开题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情况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8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（20分）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6分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按时开题，且有详细组织过程（6分）。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ind w:leftChars="-51" w:hangingChars="51" w:hanging="107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查看开题报告及相关记录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8分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开题报告撰写规范（8分）。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ind w:leftChars="-51" w:hangingChars="51" w:hanging="107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查看开题报告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6分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教师指导认真、开题报告评价意见科学、合理（6分）。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ind w:leftChars="-51" w:hangingChars="51" w:hanging="107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查看指导记录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6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条件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保障</w:t>
            </w: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（5分）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5分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before="0" w:beforeAutospacing="0" w:after="0" w:afterAutospacing="0" w:line="300" w:lineRule="exact"/>
              <w:jc w:val="both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参考文献、工具书、资料、教学仪器设备、机房及实验室开放等满足要求（5分）。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adjustRightInd w:val="0"/>
              <w:snapToGrid w:val="0"/>
              <w:spacing w:before="0" w:beforeAutospacing="0" w:after="0" w:afterAutospacing="0" w:line="30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查看现场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spacing w:line="240" w:lineRule="exact"/>
              <w:jc w:val="both"/>
              <w:rPr>
                <w:rFonts w:hAnsi="Times New Roman"/>
                <w:sz w:val="18"/>
                <w:szCs w:val="18"/>
              </w:rPr>
            </w:pPr>
          </w:p>
        </w:tc>
      </w:tr>
      <w:tr w:rsidR="009740CC" w:rsidTr="009740CC">
        <w:trPr>
          <w:cantSplit/>
          <w:trHeight w:val="536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评价意见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jc w:val="both"/>
              <w:rPr>
                <w:sz w:val="21"/>
                <w:szCs w:val="21"/>
              </w:rPr>
            </w:pPr>
          </w:p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综合得分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pStyle w:val="4"/>
              <w:tabs>
                <w:tab w:val="left" w:pos="3060"/>
                <w:tab w:val="left" w:pos="3240"/>
              </w:tabs>
              <w:ind w:firstLineChars="40" w:firstLine="84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签名：</w:t>
            </w:r>
          </w:p>
        </w:tc>
      </w:tr>
    </w:tbl>
    <w:p w:rsidR="009740CC" w:rsidRDefault="009740CC" w:rsidP="009740CC">
      <w:pPr>
        <w:spacing w:line="240" w:lineRule="exact"/>
        <w:rPr>
          <w:sz w:val="24"/>
        </w:rPr>
      </w:pPr>
      <w:r>
        <w:rPr>
          <w:sz w:val="18"/>
        </w:rPr>
        <w:t xml:space="preserve">                                                                                         </w:t>
      </w:r>
    </w:p>
    <w:p w:rsidR="009740CC" w:rsidRDefault="009740CC" w:rsidP="009740CC">
      <w:pPr>
        <w:widowControl/>
        <w:jc w:val="left"/>
        <w:rPr>
          <w:sz w:val="24"/>
        </w:rPr>
        <w:sectPr w:rsidR="009740CC">
          <w:pgSz w:w="16838" w:h="11906" w:orient="landscape"/>
          <w:pgMar w:top="1247" w:right="1134" w:bottom="1134" w:left="1134" w:header="851" w:footer="992" w:gutter="0"/>
          <w:cols w:space="720"/>
        </w:sectPr>
      </w:pPr>
    </w:p>
    <w:p w:rsidR="009740CC" w:rsidRDefault="009740CC" w:rsidP="009740CC">
      <w:pPr>
        <w:spacing w:line="480" w:lineRule="exact"/>
        <w:rPr>
          <w:rFonts w:ascii="宋体" w:hAnsi="宋体"/>
          <w:sz w:val="28"/>
          <w:szCs w:val="18"/>
        </w:rPr>
      </w:pPr>
      <w:r>
        <w:rPr>
          <w:rFonts w:ascii="宋体" w:hAnsi="宋体" w:hint="eastAsia"/>
          <w:sz w:val="24"/>
        </w:rPr>
        <w:lastRenderedPageBreak/>
        <w:t>附表2</w:t>
      </w:r>
      <w:r>
        <w:rPr>
          <w:rFonts w:ascii="宋体" w:hAnsi="宋体" w:hint="eastAsia"/>
          <w:sz w:val="28"/>
          <w:szCs w:val="18"/>
        </w:rPr>
        <w:t>：</w:t>
      </w:r>
    </w:p>
    <w:p w:rsidR="009740CC" w:rsidRDefault="009740CC" w:rsidP="009740CC">
      <w:pPr>
        <w:spacing w:beforeLines="50" w:before="156" w:afterLines="50" w:after="156" w:line="480" w:lineRule="exact"/>
        <w:jc w:val="center"/>
        <w:outlineLvl w:val="0"/>
        <w:rPr>
          <w:rFonts w:ascii="宋体" w:hAnsi="宋体" w:cs="Arial" w:hint="eastAsia"/>
          <w:b/>
          <w:kern w:val="0"/>
          <w:sz w:val="32"/>
          <w:szCs w:val="32"/>
        </w:rPr>
      </w:pPr>
      <w:r>
        <w:rPr>
          <w:rFonts w:ascii="宋体" w:hAnsi="宋体" w:cs="Arial" w:hint="eastAsia"/>
          <w:b/>
          <w:kern w:val="0"/>
          <w:sz w:val="32"/>
          <w:szCs w:val="32"/>
        </w:rPr>
        <w:t xml:space="preserve"> 2017届本科毕业设计（论文）前期检查安排表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58"/>
        <w:gridCol w:w="3083"/>
        <w:gridCol w:w="2445"/>
      </w:tblGrid>
      <w:tr w:rsidR="009740CC" w:rsidTr="009740CC">
        <w:trPr>
          <w:cantSplit/>
          <w:trHeight w:val="48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系   别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检查时间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24"/>
              </w:rPr>
              <w:t>检查组成员</w:t>
            </w:r>
          </w:p>
        </w:tc>
      </w:tr>
      <w:tr w:rsidR="009740CC" w:rsidTr="009740CC">
        <w:trPr>
          <w:cantSplit/>
          <w:trHeight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城市建设系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3月27日</w:t>
              </w:r>
            </w:smartTag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  长： 杨山玉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成  员： 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肖剑国</w:t>
            </w:r>
            <w:proofErr w:type="gramEnd"/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周效思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</w:t>
            </w: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电气工程系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3月28日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机械与能源工程系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3月29日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生物与化学工程系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3月30日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信息工程系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3月27日</w:t>
              </w:r>
            </w:smartTag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组  长：刘永和 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  员： 彭南生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张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>伟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易德保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  </w:t>
            </w: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经济与管理系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3月28日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会计系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3月29日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体育系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3月30日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理学与信息科学系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3月31日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外语系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3月27日</w:t>
              </w:r>
            </w:smartTag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组  长：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</w:rPr>
              <w:t>马万辉</w:t>
            </w:r>
            <w:proofErr w:type="gramEnd"/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成  员：肖玉田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 w:hint="eastAsia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易海涛</w:t>
            </w:r>
          </w:p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       </w:t>
            </w: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中文系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3月28日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音乐系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3月29日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政法系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3月30日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9740CC" w:rsidTr="009740CC">
        <w:trPr>
          <w:cantSplit/>
          <w:trHeight w:hRule="exact" w:val="7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snapToGrid w:val="0"/>
              <w:spacing w:line="4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14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艺术设计系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tabs>
                <w:tab w:val="left" w:pos="1905"/>
              </w:tabs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snapToGrid w:val="0"/>
                  <w:kern w:val="0"/>
                  <w:sz w:val="24"/>
                </w:rPr>
                <w:t>3月31日</w:t>
              </w:r>
            </w:smartTag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CC" w:rsidRDefault="009740CC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9740CC" w:rsidRDefault="009740CC" w:rsidP="009740CC">
      <w:pPr>
        <w:spacing w:line="480" w:lineRule="exact"/>
        <w:rPr>
          <w:rFonts w:ascii="宋体" w:hAnsi="宋体" w:hint="eastAsia"/>
          <w:snapToGrid w:val="0"/>
          <w:kern w:val="0"/>
          <w:szCs w:val="21"/>
        </w:rPr>
      </w:pPr>
      <w:r>
        <w:rPr>
          <w:rFonts w:ascii="宋体" w:hAnsi="宋体" w:hint="eastAsia"/>
          <w:snapToGrid w:val="0"/>
          <w:kern w:val="0"/>
          <w:szCs w:val="21"/>
        </w:rPr>
        <w:t>注：请各教学单位与组长协商确定具体检查时间。</w:t>
      </w:r>
    </w:p>
    <w:p w:rsidR="005D0AD2" w:rsidRPr="009740CC" w:rsidRDefault="005D0AD2">
      <w:pPr>
        <w:rPr>
          <w:rFonts w:hint="eastAsia"/>
        </w:rPr>
      </w:pPr>
      <w:bookmarkStart w:id="0" w:name="_GoBack"/>
      <w:bookmarkEnd w:id="0"/>
    </w:p>
    <w:sectPr w:rsidR="005D0AD2" w:rsidRPr="0097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E0"/>
    <w:rsid w:val="005D0AD2"/>
    <w:rsid w:val="006511E0"/>
    <w:rsid w:val="009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"/>
    <w:basedOn w:val="a"/>
    <w:rsid w:val="009740C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"/>
    <w:basedOn w:val="a"/>
    <w:rsid w:val="009740C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2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3</cp:revision>
  <dcterms:created xsi:type="dcterms:W3CDTF">2017-04-14T07:35:00Z</dcterms:created>
  <dcterms:modified xsi:type="dcterms:W3CDTF">2017-04-14T07:35:00Z</dcterms:modified>
</cp:coreProperties>
</file>