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E05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b w:val="0"/>
          <w:bCs w:val="0"/>
          <w:color w:val="auto"/>
          <w:kern w:val="0"/>
          <w:sz w:val="44"/>
          <w:szCs w:val="44"/>
          <w:lang w:val="en-US" w:eastAsia="zh-CN"/>
        </w:rPr>
      </w:pPr>
      <w:r>
        <w:rPr>
          <w:rFonts w:hint="eastAsia" w:ascii="方正小标宋简体" w:hAnsi="方正小标宋简体" w:eastAsia="方正小标宋简体" w:cs="方正小标宋简体"/>
          <w:b w:val="0"/>
          <w:bCs w:val="0"/>
          <w:color w:val="auto"/>
          <w:kern w:val="0"/>
          <w:sz w:val="44"/>
          <w:szCs w:val="44"/>
          <w:lang w:val="en-US" w:eastAsia="zh-CN"/>
        </w:rPr>
        <w:t>盛德精技</w:t>
      </w:r>
      <w:r>
        <w:rPr>
          <w:rFonts w:hint="eastAsia" w:ascii="方正小标宋简体" w:hAnsi="方正小标宋简体" w:eastAsia="方正小标宋简体" w:cs="方正小标宋简体"/>
          <w:b w:val="0"/>
          <w:bCs w:val="0"/>
          <w:color w:val="auto"/>
          <w:kern w:val="0"/>
          <w:sz w:val="44"/>
          <w:szCs w:val="44"/>
        </w:rPr>
        <w:t>，</w:t>
      </w:r>
      <w:r>
        <w:rPr>
          <w:rFonts w:hint="eastAsia" w:ascii="方正小标宋简体" w:hAnsi="方正小标宋简体" w:eastAsia="方正小标宋简体" w:cs="方正小标宋简体"/>
          <w:b w:val="0"/>
          <w:bCs w:val="0"/>
          <w:color w:val="auto"/>
          <w:kern w:val="0"/>
          <w:sz w:val="44"/>
          <w:szCs w:val="44"/>
          <w:lang w:val="en-US" w:eastAsia="zh-CN"/>
        </w:rPr>
        <w:t>经世日新</w:t>
      </w:r>
    </w:p>
    <w:p w14:paraId="2EF4D3D4">
      <w:pPr>
        <w:keepNext w:val="0"/>
        <w:keepLines w:val="0"/>
        <w:pageBreakBefore w:val="0"/>
        <w:kinsoku/>
        <w:wordWrap/>
        <w:overflowPunct/>
        <w:topLinePunct w:val="0"/>
        <w:autoSpaceDN/>
        <w:bidi w:val="0"/>
        <w:adjustRightInd/>
        <w:snapToGrid/>
        <w:spacing w:line="500" w:lineRule="exact"/>
        <w:textAlignment w:val="auto"/>
        <w:rPr>
          <w:rFonts w:hint="eastAsia" w:ascii="宋体" w:hAnsi="宋体" w:eastAsia="宋体"/>
          <w:b/>
          <w:bCs/>
          <w:kern w:val="0"/>
          <w:sz w:val="24"/>
          <w:szCs w:val="24"/>
        </w:rPr>
      </w:pPr>
    </w:p>
    <w:p w14:paraId="0C06D83C">
      <w:pPr>
        <w:keepNext w:val="0"/>
        <w:keepLines w:val="0"/>
        <w:pageBreakBefore w:val="0"/>
        <w:kinsoku/>
        <w:wordWrap/>
        <w:overflowPunct/>
        <w:topLinePunct w:val="0"/>
        <w:autoSpaceDN/>
        <w:bidi w:val="0"/>
        <w:adjustRightInd/>
        <w:snapToGrid/>
        <w:spacing w:line="500" w:lineRule="exact"/>
        <w:ind w:firstLine="562" w:firstLineChars="200"/>
        <w:textAlignment w:val="auto"/>
        <w:rPr>
          <w:rFonts w:hint="eastAsia" w:ascii="黑体" w:hAnsi="黑体" w:eastAsia="黑体" w:cs="黑体"/>
          <w:b/>
          <w:bCs/>
          <w:kern w:val="0"/>
          <w:sz w:val="28"/>
          <w:szCs w:val="28"/>
        </w:rPr>
      </w:pPr>
      <w:r>
        <w:rPr>
          <w:rFonts w:hint="eastAsia" w:ascii="黑体" w:hAnsi="黑体" w:eastAsia="黑体" w:cs="黑体"/>
          <w:b/>
          <w:bCs/>
          <w:kern w:val="0"/>
          <w:sz w:val="28"/>
          <w:szCs w:val="28"/>
        </w:rPr>
        <w:t>一、学院简介</w:t>
      </w:r>
    </w:p>
    <w:p w14:paraId="03190859">
      <w:pPr>
        <w:keepNext w:val="0"/>
        <w:keepLines w:val="0"/>
        <w:pageBreakBefore w:val="0"/>
        <w:widowControl/>
        <w:kinsoku/>
        <w:wordWrap/>
        <w:overflowPunct/>
        <w:topLinePunct w:val="0"/>
        <w:autoSpaceDE w:val="0"/>
        <w:autoSpaceDN/>
        <w:bidi w:val="0"/>
        <w:adjustRightInd/>
        <w:snapToGrid/>
        <w:spacing w:line="500" w:lineRule="exact"/>
        <w:ind w:firstLine="480" w:firstLineChars="200"/>
        <w:jc w:val="left"/>
        <w:textAlignment w:val="auto"/>
        <w:rPr>
          <w:rFonts w:ascii="宋体" w:hAnsi="宋体" w:eastAsia="宋体"/>
          <w:kern w:val="0"/>
          <w:sz w:val="24"/>
          <w:szCs w:val="24"/>
        </w:rPr>
      </w:pPr>
      <w:r>
        <w:rPr>
          <w:rFonts w:hint="eastAsia" w:ascii="宋体" w:hAnsi="宋体" w:eastAsia="宋体"/>
          <w:kern w:val="0"/>
          <w:sz w:val="24"/>
          <w:szCs w:val="24"/>
        </w:rPr>
        <w:t>经济与管理学院创建于</w:t>
      </w:r>
      <w:r>
        <w:rPr>
          <w:rFonts w:hint="eastAsia" w:ascii="宋体" w:hAnsi="宋体" w:eastAsia="宋体"/>
          <w:kern w:val="0"/>
          <w:sz w:val="24"/>
          <w:szCs w:val="24"/>
          <w:lang w:val="en-US" w:eastAsia="zh-CN"/>
        </w:rPr>
        <w:t>1988</w:t>
      </w:r>
      <w:r>
        <w:rPr>
          <w:rFonts w:hint="eastAsia" w:ascii="宋体" w:hAnsi="宋体" w:eastAsia="宋体"/>
          <w:kern w:val="0"/>
          <w:sz w:val="24"/>
          <w:szCs w:val="24"/>
        </w:rPr>
        <w:t>年，现有</w:t>
      </w:r>
      <w:r>
        <w:rPr>
          <w:rFonts w:hint="eastAsia" w:ascii="宋体" w:hAnsi="宋体" w:eastAsia="宋体"/>
          <w:color w:val="000000"/>
          <w:kern w:val="0"/>
          <w:sz w:val="24"/>
          <w:szCs w:val="24"/>
        </w:rPr>
        <w:t>大数据管理与应用</w:t>
      </w:r>
      <w:r>
        <w:rPr>
          <w:rFonts w:hint="eastAsia" w:ascii="宋体" w:hAnsi="宋体" w:eastAsia="宋体"/>
          <w:kern w:val="0"/>
          <w:sz w:val="24"/>
          <w:szCs w:val="24"/>
        </w:rPr>
        <w:t>、国际经济与贸易、旅游管理、金融工程4个本科专业。</w:t>
      </w:r>
      <w:r>
        <w:rPr>
          <w:rFonts w:hint="eastAsia" w:ascii="宋体" w:hAnsi="宋体" w:eastAsia="宋体"/>
          <w:kern w:val="0"/>
          <w:sz w:val="24"/>
          <w:szCs w:val="24"/>
          <w:lang w:val="en-US" w:eastAsia="zh-CN"/>
        </w:rPr>
        <w:t>其中，管理科学（大数据管理与应用专业）、</w:t>
      </w:r>
      <w:r>
        <w:rPr>
          <w:rFonts w:hint="eastAsia" w:ascii="宋体" w:hAnsi="宋体" w:eastAsia="宋体"/>
          <w:kern w:val="0"/>
          <w:sz w:val="24"/>
          <w:szCs w:val="24"/>
        </w:rPr>
        <w:t>国际经济与贸易</w:t>
      </w:r>
      <w:r>
        <w:rPr>
          <w:rFonts w:hint="eastAsia" w:ascii="宋体" w:hAnsi="宋体" w:eastAsia="宋体"/>
          <w:kern w:val="0"/>
          <w:sz w:val="24"/>
          <w:szCs w:val="24"/>
          <w:lang w:val="en-US" w:eastAsia="zh-CN"/>
        </w:rPr>
        <w:t>、旅游管理为湖南省一流专业建设点。管理科学专业是教育部认定的第</w:t>
      </w:r>
      <w:r>
        <w:rPr>
          <w:rFonts w:hint="default" w:ascii="宋体" w:hAnsi="宋体" w:eastAsia="宋体"/>
          <w:kern w:val="0"/>
          <w:sz w:val="24"/>
          <w:szCs w:val="24"/>
          <w:lang w:val="en-US" w:eastAsia="zh-CN"/>
        </w:rPr>
        <w:t>Ⅰ</w:t>
      </w:r>
      <w:r>
        <w:rPr>
          <w:rFonts w:hint="eastAsia" w:ascii="宋体" w:hAnsi="宋体" w:eastAsia="宋体"/>
          <w:kern w:val="0"/>
          <w:sz w:val="24"/>
          <w:szCs w:val="24"/>
          <w:lang w:val="en-US" w:eastAsia="zh-CN"/>
        </w:rPr>
        <w:t>类特色专业。</w:t>
      </w:r>
      <w:r>
        <w:rPr>
          <w:rFonts w:hint="eastAsia" w:ascii="宋体" w:hAnsi="宋体" w:eastAsia="宋体"/>
          <w:kern w:val="0"/>
          <w:sz w:val="24"/>
          <w:szCs w:val="24"/>
        </w:rPr>
        <w:t>国际经济与贸易、旅游管理专业2019年开始招收有学历的国际留学生</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目前，我院</w:t>
      </w:r>
      <w:r>
        <w:rPr>
          <w:rFonts w:hint="eastAsia" w:ascii="宋体" w:hAnsi="宋体" w:eastAsia="宋体"/>
          <w:kern w:val="0"/>
          <w:sz w:val="24"/>
          <w:szCs w:val="24"/>
        </w:rPr>
        <w:t>在校学生1</w:t>
      </w:r>
      <w:r>
        <w:rPr>
          <w:rFonts w:hint="eastAsia" w:ascii="宋体" w:hAnsi="宋体" w:eastAsia="宋体"/>
          <w:kern w:val="0"/>
          <w:sz w:val="24"/>
          <w:szCs w:val="24"/>
          <w:lang w:val="en-US" w:eastAsia="zh-CN"/>
        </w:rPr>
        <w:t>707</w:t>
      </w:r>
      <w:r>
        <w:rPr>
          <w:rFonts w:hint="eastAsia" w:ascii="宋体" w:hAnsi="宋体" w:eastAsia="宋体"/>
          <w:kern w:val="0"/>
          <w:sz w:val="24"/>
          <w:szCs w:val="24"/>
        </w:rPr>
        <w:t>人（</w:t>
      </w:r>
      <w:r>
        <w:rPr>
          <w:rFonts w:hint="eastAsia" w:ascii="宋体" w:hAnsi="宋体" w:eastAsia="宋体"/>
          <w:kern w:val="0"/>
          <w:sz w:val="24"/>
          <w:szCs w:val="24"/>
          <w:lang w:val="en-US" w:eastAsia="zh-CN"/>
        </w:rPr>
        <w:t>不</w:t>
      </w:r>
      <w:r>
        <w:rPr>
          <w:rFonts w:hint="eastAsia" w:ascii="宋体" w:hAnsi="宋体" w:eastAsia="宋体"/>
          <w:kern w:val="0"/>
          <w:sz w:val="24"/>
          <w:szCs w:val="24"/>
        </w:rPr>
        <w:t>含国际留学生</w:t>
      </w:r>
      <w:r>
        <w:rPr>
          <w:rFonts w:hint="eastAsia" w:ascii="宋体" w:hAnsi="宋体" w:eastAsia="宋体"/>
          <w:kern w:val="0"/>
          <w:sz w:val="24"/>
          <w:szCs w:val="24"/>
          <w:lang w:val="en-US" w:eastAsia="zh-CN"/>
        </w:rPr>
        <w:t>15人</w:t>
      </w:r>
      <w:bookmarkStart w:id="0" w:name="_GoBack"/>
      <w:bookmarkEnd w:id="0"/>
      <w:r>
        <w:rPr>
          <w:rFonts w:hint="eastAsia" w:ascii="宋体" w:hAnsi="宋体" w:eastAsia="宋体"/>
          <w:kern w:val="0"/>
          <w:sz w:val="24"/>
          <w:szCs w:val="24"/>
        </w:rPr>
        <w:t>）。现有专任教师</w:t>
      </w:r>
      <w:r>
        <w:rPr>
          <w:rFonts w:hint="eastAsia" w:ascii="宋体" w:hAnsi="宋体" w:eastAsia="宋体"/>
          <w:kern w:val="0"/>
          <w:sz w:val="24"/>
          <w:szCs w:val="24"/>
          <w:lang w:val="en-US" w:eastAsia="zh-CN"/>
        </w:rPr>
        <w:t>48</w:t>
      </w:r>
      <w:r>
        <w:rPr>
          <w:rFonts w:hint="eastAsia" w:ascii="宋体" w:hAnsi="宋体" w:eastAsia="宋体"/>
          <w:kern w:val="0"/>
          <w:sz w:val="24"/>
          <w:szCs w:val="24"/>
        </w:rPr>
        <w:t>人，其中教授</w:t>
      </w:r>
      <w:r>
        <w:rPr>
          <w:rFonts w:hint="eastAsia" w:ascii="宋体" w:hAnsi="宋体" w:eastAsia="宋体"/>
          <w:kern w:val="0"/>
          <w:sz w:val="24"/>
          <w:szCs w:val="24"/>
          <w:lang w:val="en-US" w:eastAsia="zh-CN"/>
        </w:rPr>
        <w:t>6</w:t>
      </w:r>
      <w:r>
        <w:rPr>
          <w:rFonts w:hint="eastAsia" w:ascii="宋体" w:hAnsi="宋体" w:eastAsia="宋体"/>
          <w:kern w:val="0"/>
          <w:sz w:val="24"/>
          <w:szCs w:val="24"/>
        </w:rPr>
        <w:t>人，副教授</w:t>
      </w:r>
      <w:r>
        <w:rPr>
          <w:rFonts w:hint="eastAsia" w:ascii="宋体" w:hAnsi="宋体" w:eastAsia="宋体"/>
          <w:kern w:val="0"/>
          <w:sz w:val="24"/>
          <w:szCs w:val="24"/>
          <w:lang w:val="en-US" w:eastAsia="zh-CN"/>
        </w:rPr>
        <w:t>19</w:t>
      </w:r>
      <w:r>
        <w:rPr>
          <w:rFonts w:hint="eastAsia" w:ascii="宋体" w:hAnsi="宋体" w:eastAsia="宋体"/>
          <w:kern w:val="0"/>
          <w:sz w:val="24"/>
          <w:szCs w:val="24"/>
        </w:rPr>
        <w:t>人，硕士生导师10人，具有博士学位教师14人，国内外在读博士教师10人，省高校学科带头人1人，湖湘英才1人、省高校青年骨干教师6人，</w:t>
      </w:r>
      <w:r>
        <w:rPr>
          <w:rFonts w:hint="eastAsia" w:ascii="宋体" w:hAnsi="宋体" w:eastAsia="宋体"/>
          <w:kern w:val="0"/>
          <w:sz w:val="24"/>
          <w:szCs w:val="24"/>
          <w:lang w:val="en-US" w:eastAsia="zh-CN"/>
        </w:rPr>
        <w:t>校企合作导师28人，</w:t>
      </w:r>
      <w:r>
        <w:rPr>
          <w:rFonts w:hint="eastAsia" w:ascii="宋体" w:hAnsi="宋体" w:eastAsia="宋体"/>
          <w:kern w:val="0"/>
          <w:sz w:val="24"/>
          <w:szCs w:val="24"/>
        </w:rPr>
        <w:t>常年有外籍教师任教。</w:t>
      </w:r>
    </w:p>
    <w:p w14:paraId="6C9FFEA2">
      <w:pPr>
        <w:keepNext w:val="0"/>
        <w:keepLines w:val="0"/>
        <w:pageBreakBefore w:val="0"/>
        <w:kinsoku/>
        <w:wordWrap/>
        <w:overflowPunct/>
        <w:topLinePunct w:val="0"/>
        <w:autoSpaceDN/>
        <w:bidi w:val="0"/>
        <w:adjustRightInd/>
        <w:snapToGrid/>
        <w:spacing w:line="500" w:lineRule="exact"/>
        <w:ind w:firstLine="562" w:firstLineChars="200"/>
        <w:textAlignment w:val="auto"/>
        <w:rPr>
          <w:rFonts w:hint="eastAsia" w:ascii="黑体" w:hAnsi="黑体" w:eastAsia="黑体" w:cs="黑体"/>
          <w:b/>
          <w:bCs/>
          <w:kern w:val="0"/>
          <w:sz w:val="28"/>
          <w:szCs w:val="28"/>
        </w:rPr>
      </w:pPr>
      <w:r>
        <w:rPr>
          <w:rFonts w:hint="eastAsia" w:ascii="黑体" w:hAnsi="黑体" w:eastAsia="黑体" w:cs="黑体"/>
          <w:b/>
          <w:bCs/>
          <w:kern w:val="0"/>
          <w:sz w:val="28"/>
          <w:szCs w:val="28"/>
        </w:rPr>
        <w:t>二、</w:t>
      </w:r>
      <w:r>
        <w:rPr>
          <w:rFonts w:hint="eastAsia" w:ascii="黑体" w:hAnsi="黑体" w:eastAsia="黑体" w:cs="黑体"/>
          <w:b/>
          <w:bCs/>
          <w:kern w:val="0"/>
          <w:sz w:val="28"/>
          <w:szCs w:val="28"/>
          <w:lang w:val="en-US" w:eastAsia="zh-CN"/>
        </w:rPr>
        <w:t>创新新商科人才</w:t>
      </w:r>
      <w:r>
        <w:rPr>
          <w:rFonts w:hint="eastAsia" w:ascii="黑体" w:hAnsi="黑体" w:eastAsia="黑体" w:cs="黑体"/>
          <w:b/>
          <w:bCs/>
          <w:kern w:val="0"/>
          <w:sz w:val="28"/>
          <w:szCs w:val="28"/>
        </w:rPr>
        <w:t>培养模式</w:t>
      </w:r>
    </w:p>
    <w:p w14:paraId="3BAA4E7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500" w:lineRule="exact"/>
        <w:ind w:left="0" w:right="0" w:firstLine="480" w:firstLineChars="200"/>
        <w:textAlignment w:val="auto"/>
        <w:rPr>
          <w:rFonts w:ascii="宋体" w:hAnsi="宋体" w:eastAsia="宋体"/>
          <w:color w:val="auto"/>
          <w:kern w:val="0"/>
          <w:sz w:val="24"/>
          <w:szCs w:val="24"/>
        </w:rPr>
      </w:pPr>
      <w:r>
        <w:rPr>
          <w:rFonts w:hint="eastAsia" w:ascii="宋体" w:hAnsi="宋体" w:eastAsia="宋体"/>
          <w:color w:val="auto"/>
          <w:kern w:val="0"/>
          <w:sz w:val="24"/>
          <w:szCs w:val="24"/>
        </w:rPr>
        <w:t>近年来，经济与管理学院</w:t>
      </w:r>
      <w:r>
        <w:rPr>
          <w:rFonts w:ascii="宋体" w:hAnsi="宋体" w:eastAsia="宋体"/>
          <w:color w:val="auto"/>
          <w:kern w:val="0"/>
          <w:sz w:val="24"/>
          <w:szCs w:val="24"/>
        </w:rPr>
        <w:t>大胆改革，锐意创新，着力推进</w:t>
      </w:r>
      <w:r>
        <w:rPr>
          <w:rFonts w:hint="eastAsia" w:ascii="宋体" w:hAnsi="宋体" w:eastAsia="宋体"/>
          <w:color w:val="auto"/>
          <w:kern w:val="0"/>
          <w:sz w:val="24"/>
          <w:szCs w:val="24"/>
          <w:lang w:val="en-US" w:eastAsia="zh-CN"/>
        </w:rPr>
        <w:t>以数字化教育转型为基础的</w:t>
      </w:r>
      <w:r>
        <w:rPr>
          <w:rFonts w:ascii="宋体" w:hAnsi="宋体" w:eastAsia="宋体"/>
          <w:color w:val="auto"/>
          <w:kern w:val="0"/>
          <w:sz w:val="24"/>
          <w:szCs w:val="24"/>
        </w:rPr>
        <w:t>新商科建设，将教育教学改革和专业建设重点聚焦于高素质</w:t>
      </w:r>
      <w:r>
        <w:rPr>
          <w:rFonts w:hint="eastAsia" w:ascii="宋体" w:hAnsi="宋体" w:eastAsia="宋体"/>
          <w:color w:val="auto"/>
          <w:kern w:val="0"/>
          <w:sz w:val="24"/>
          <w:szCs w:val="24"/>
          <w:lang w:val="en-US" w:eastAsia="zh-CN"/>
        </w:rPr>
        <w:t>的数字化</w:t>
      </w:r>
      <w:r>
        <w:rPr>
          <w:rFonts w:ascii="宋体" w:hAnsi="宋体" w:eastAsia="宋体"/>
          <w:color w:val="auto"/>
          <w:kern w:val="0"/>
          <w:sz w:val="24"/>
          <w:szCs w:val="24"/>
        </w:rPr>
        <w:t>复合型人才培养，逐渐探索出多元化、多途径的新商科</w:t>
      </w:r>
      <w:r>
        <w:rPr>
          <w:rFonts w:ascii="宋体" w:hAnsi="宋体" w:eastAsia="宋体"/>
          <w:b/>
          <w:bCs/>
          <w:color w:val="auto"/>
          <w:kern w:val="0"/>
          <w:sz w:val="24"/>
          <w:szCs w:val="24"/>
        </w:rPr>
        <w:t>“Π型”</w:t>
      </w:r>
      <w:r>
        <w:rPr>
          <w:rFonts w:ascii="宋体" w:hAnsi="宋体" w:eastAsia="宋体"/>
          <w:color w:val="auto"/>
          <w:kern w:val="0"/>
          <w:sz w:val="24"/>
          <w:szCs w:val="24"/>
        </w:rPr>
        <w:t>人才柔性培养模式</w:t>
      </w:r>
      <w:r>
        <w:rPr>
          <w:rFonts w:hint="eastAsia" w:ascii="宋体" w:hAnsi="宋体" w:eastAsia="宋体"/>
          <w:color w:val="auto"/>
          <w:kern w:val="0"/>
          <w:sz w:val="24"/>
          <w:szCs w:val="24"/>
          <w:lang w:eastAsia="zh-CN"/>
        </w:rPr>
        <w:t>，</w:t>
      </w:r>
      <w:r>
        <w:rPr>
          <w:rFonts w:hint="eastAsia" w:ascii="宋体" w:hAnsi="宋体" w:eastAsia="宋体"/>
          <w:color w:val="auto"/>
          <w:kern w:val="0"/>
          <w:sz w:val="24"/>
          <w:szCs w:val="24"/>
          <w:lang w:val="en-US" w:eastAsia="zh-CN"/>
        </w:rPr>
        <w:t>湖南日报2</w:t>
      </w:r>
      <w:r>
        <w:rPr>
          <w:rFonts w:hint="eastAsia" w:ascii="宋体" w:hAnsi="宋体" w:eastAsia="宋体" w:cstheme="minorBidi"/>
          <w:color w:val="auto"/>
          <w:kern w:val="0"/>
          <w:sz w:val="24"/>
          <w:szCs w:val="24"/>
          <w:lang w:val="en-US" w:eastAsia="zh-CN" w:bidi="ar-SA"/>
        </w:rPr>
        <w:t>次分别以《</w:t>
      </w:r>
      <w:r>
        <w:rPr>
          <w:rFonts w:hint="default" w:ascii="宋体" w:hAnsi="宋体" w:eastAsia="宋体" w:cstheme="minorBidi"/>
          <w:color w:val="auto"/>
          <w:kern w:val="0"/>
          <w:sz w:val="24"/>
          <w:szCs w:val="24"/>
          <w:lang w:val="en-US" w:eastAsia="zh-CN" w:bidi="ar-SA"/>
        </w:rPr>
        <w:t>邵阳学院经济与管理学院多方协同提升人才培养质量</w:t>
      </w:r>
      <w:r>
        <w:rPr>
          <w:rFonts w:hint="eastAsia" w:ascii="宋体" w:hAnsi="宋体" w:eastAsia="宋体" w:cstheme="minorBidi"/>
          <w:color w:val="auto"/>
          <w:kern w:val="0"/>
          <w:sz w:val="24"/>
          <w:szCs w:val="24"/>
          <w:lang w:val="en-US" w:eastAsia="zh-CN" w:bidi="ar-SA"/>
        </w:rPr>
        <w:t>》与《邵阳学院经济与管理学院致力打造新商科“Π型”人才柔性培养新模式</w:t>
      </w:r>
      <w:r>
        <w:rPr>
          <w:rFonts w:hint="eastAsia" w:ascii="宋体" w:hAnsi="宋体" w:eastAsia="宋体"/>
          <w:color w:val="auto"/>
          <w:kern w:val="0"/>
          <w:sz w:val="24"/>
          <w:szCs w:val="24"/>
          <w:lang w:val="en-US" w:eastAsia="zh-CN"/>
        </w:rPr>
        <w:t>》专题报道邵阳学院经济与管理学院的人才培养模式创新成效</w:t>
      </w:r>
      <w:r>
        <w:rPr>
          <w:rFonts w:ascii="宋体" w:hAnsi="宋体" w:eastAsia="宋体"/>
          <w:color w:val="auto"/>
          <w:kern w:val="0"/>
          <w:sz w:val="24"/>
          <w:szCs w:val="24"/>
        </w:rPr>
        <w:t>。</w:t>
      </w:r>
    </w:p>
    <w:p w14:paraId="49783518">
      <w:pPr>
        <w:keepNext w:val="0"/>
        <w:keepLines w:val="0"/>
        <w:pageBreakBefore w:val="0"/>
        <w:kinsoku/>
        <w:wordWrap/>
        <w:overflowPunct/>
        <w:topLinePunct w:val="0"/>
        <w:autoSpaceDN/>
        <w:bidi w:val="0"/>
        <w:adjustRightInd/>
        <w:snapToGrid/>
        <w:spacing w:line="500" w:lineRule="exact"/>
        <w:textAlignment w:val="auto"/>
        <w:rPr>
          <w:rFonts w:hint="default" w:ascii="宋体" w:hAnsi="宋体" w:eastAsia="宋体"/>
          <w:color w:val="auto"/>
          <w:kern w:val="0"/>
          <w:sz w:val="24"/>
          <w:szCs w:val="24"/>
          <w:lang w:val="en-US" w:eastAsia="zh-CN"/>
        </w:rPr>
      </w:pPr>
      <w:r>
        <w:rPr>
          <w:rFonts w:hint="eastAsia" w:ascii="宋体" w:hAnsi="宋体" w:eastAsia="宋体"/>
          <w:color w:val="auto"/>
          <w:kern w:val="0"/>
          <w:sz w:val="24"/>
          <w:szCs w:val="24"/>
          <w:lang w:val="en-US" w:eastAsia="zh-CN"/>
        </w:rPr>
        <w:t xml:space="preserve">    </w:t>
      </w:r>
      <w:r>
        <w:rPr>
          <w:rFonts w:hint="eastAsia" w:ascii="宋体" w:hAnsi="宋体" w:eastAsia="宋体"/>
          <w:b/>
          <w:bCs/>
          <w:color w:val="auto"/>
          <w:kern w:val="0"/>
          <w:sz w:val="24"/>
          <w:szCs w:val="24"/>
          <w:lang w:val="en-US" w:eastAsia="zh-CN"/>
        </w:rPr>
        <w:t>1.牢固树立“三全育人”“五育并举”的人才培养理念与模式</w:t>
      </w:r>
      <w:r>
        <w:rPr>
          <w:rFonts w:hint="eastAsia" w:ascii="宋体" w:hAnsi="宋体" w:eastAsia="宋体"/>
          <w:color w:val="auto"/>
          <w:kern w:val="0"/>
          <w:sz w:val="24"/>
          <w:szCs w:val="24"/>
          <w:lang w:val="en-US" w:eastAsia="zh-CN"/>
        </w:rPr>
        <w:t>。即以“党建”引领思想，以OBE理念引导教学，以产教融合引航实践。</w:t>
      </w:r>
      <w:r>
        <w:rPr>
          <w:rFonts w:hint="eastAsia" w:ascii="宋体" w:hAnsi="宋体" w:eastAsia="宋体"/>
          <w:b/>
          <w:bCs/>
          <w:color w:val="auto"/>
          <w:kern w:val="0"/>
          <w:sz w:val="24"/>
          <w:szCs w:val="24"/>
          <w:lang w:val="en-US" w:eastAsia="zh-CN"/>
        </w:rPr>
        <w:t>一是全员育人</w:t>
      </w:r>
      <w:r>
        <w:rPr>
          <w:rFonts w:hint="eastAsia" w:ascii="宋体" w:hAnsi="宋体" w:eastAsia="宋体"/>
          <w:color w:val="auto"/>
          <w:kern w:val="0"/>
          <w:sz w:val="24"/>
          <w:szCs w:val="24"/>
          <w:lang w:val="en-US" w:eastAsia="zh-CN"/>
        </w:rPr>
        <w:t>。积极开展“四‘微’一体，经益求精”特色党建活动，以党建带团建，全院师生共参与。</w:t>
      </w:r>
      <w:r>
        <w:rPr>
          <w:rFonts w:hint="eastAsia" w:ascii="宋体" w:hAnsi="宋体" w:eastAsia="宋体"/>
          <w:b/>
          <w:bCs/>
          <w:color w:val="auto"/>
          <w:kern w:val="0"/>
          <w:sz w:val="24"/>
          <w:szCs w:val="24"/>
          <w:lang w:val="en-US" w:eastAsia="zh-CN"/>
        </w:rPr>
        <w:t>二是全程育人</w:t>
      </w:r>
      <w:r>
        <w:rPr>
          <w:rFonts w:hint="eastAsia" w:ascii="宋体" w:hAnsi="宋体" w:eastAsia="宋体"/>
          <w:color w:val="auto"/>
          <w:kern w:val="0"/>
          <w:sz w:val="24"/>
          <w:szCs w:val="24"/>
          <w:lang w:val="en-US" w:eastAsia="zh-CN"/>
        </w:rPr>
        <w:t>。探索育人场域多样化，从课堂教学、实践教学、第二课堂到网络教学，实现过程育人的完美衔接。</w:t>
      </w:r>
      <w:r>
        <w:rPr>
          <w:rFonts w:hint="eastAsia" w:ascii="宋体" w:hAnsi="宋体" w:eastAsia="宋体"/>
          <w:b/>
          <w:bCs/>
          <w:color w:val="auto"/>
          <w:kern w:val="0"/>
          <w:sz w:val="24"/>
          <w:szCs w:val="24"/>
          <w:lang w:val="en-US" w:eastAsia="zh-CN"/>
        </w:rPr>
        <w:t>三是全方位育人</w:t>
      </w:r>
      <w:r>
        <w:rPr>
          <w:rFonts w:hint="eastAsia" w:ascii="宋体" w:hAnsi="宋体" w:eastAsia="宋体"/>
          <w:color w:val="auto"/>
          <w:kern w:val="0"/>
          <w:sz w:val="24"/>
          <w:szCs w:val="24"/>
          <w:lang w:val="en-US" w:eastAsia="zh-CN"/>
        </w:rPr>
        <w:t>。开展“心心点灯”、“一帮一”“体育强健”“一帧精彩”“乡村帮扶”系列活动，让学生德智体美劳得以升华；并积极与地方企业开展产教融合，实现学生实践的在地化，积极服务地方经济建设发展。</w:t>
      </w:r>
    </w:p>
    <w:p w14:paraId="51279737">
      <w:pPr>
        <w:keepNext w:val="0"/>
        <w:keepLines w:val="0"/>
        <w:pageBreakBefore w:val="0"/>
        <w:widowControl/>
        <w:numPr>
          <w:ilvl w:val="0"/>
          <w:numId w:val="0"/>
        </w:numPr>
        <w:kinsoku/>
        <w:wordWrap/>
        <w:overflowPunct/>
        <w:topLinePunct w:val="0"/>
        <w:autoSpaceDE w:val="0"/>
        <w:autoSpaceDN/>
        <w:bidi w:val="0"/>
        <w:adjustRightInd/>
        <w:snapToGrid/>
        <w:spacing w:line="500" w:lineRule="exact"/>
        <w:ind w:firstLine="482" w:firstLineChars="200"/>
        <w:jc w:val="left"/>
        <w:textAlignment w:val="auto"/>
        <w:rPr>
          <w:rFonts w:hint="eastAsia" w:ascii="宋体" w:hAnsi="宋体" w:eastAsia="宋体"/>
          <w:b/>
          <w:bCs/>
          <w:kern w:val="0"/>
          <w:sz w:val="24"/>
          <w:szCs w:val="24"/>
        </w:rPr>
      </w:pPr>
      <w:r>
        <w:rPr>
          <w:rFonts w:hint="eastAsia" w:ascii="宋体" w:hAnsi="宋体" w:eastAsia="宋体"/>
          <w:b/>
          <w:bCs/>
          <w:kern w:val="0"/>
          <w:sz w:val="24"/>
          <w:szCs w:val="24"/>
          <w:lang w:val="en-US" w:eastAsia="zh-CN"/>
        </w:rPr>
        <w:t>2.全面推进新商科数字化人才培养。一是专业体质升级。</w:t>
      </w:r>
      <w:r>
        <w:rPr>
          <w:rFonts w:hint="eastAsia" w:ascii="宋体" w:hAnsi="宋体" w:eastAsia="宋体"/>
          <w:b w:val="0"/>
          <w:bCs w:val="0"/>
          <w:kern w:val="0"/>
          <w:sz w:val="24"/>
          <w:szCs w:val="24"/>
          <w:lang w:val="en-US" w:eastAsia="zh-CN"/>
        </w:rPr>
        <w:t>将管理科学专业提质改造为大数据管理与应用专业，正在申报数字经济新专业，在各专业普遍设置数字化课程体系。二是</w:t>
      </w:r>
      <w:r>
        <w:rPr>
          <w:rFonts w:hint="eastAsia" w:ascii="宋体" w:hAnsi="宋体" w:eastAsia="宋体" w:cs="宋体"/>
          <w:b/>
          <w:bCs/>
          <w:i w:val="0"/>
          <w:iCs w:val="0"/>
          <w:caps w:val="0"/>
          <w:color w:val="252525"/>
          <w:spacing w:val="0"/>
          <w:sz w:val="24"/>
          <w:szCs w:val="24"/>
          <w:shd w:val="clear" w:fill="FFFFFF"/>
          <w:lang w:val="en-US" w:eastAsia="zh-CN"/>
        </w:rPr>
        <w:t>数字化课程与教学全覆盖</w:t>
      </w:r>
      <w:r>
        <w:rPr>
          <w:rFonts w:hint="eastAsia" w:ascii="宋体" w:hAnsi="宋体" w:eastAsia="宋体" w:cs="宋体"/>
          <w:b/>
          <w:bCs/>
          <w:i w:val="0"/>
          <w:iCs w:val="0"/>
          <w:caps w:val="0"/>
          <w:color w:val="252525"/>
          <w:spacing w:val="0"/>
          <w:sz w:val="24"/>
          <w:szCs w:val="24"/>
          <w:shd w:val="clear" w:fill="FFFFFF"/>
          <w:lang w:eastAsia="zh-CN"/>
        </w:rPr>
        <w:t>。</w:t>
      </w:r>
      <w:r>
        <w:rPr>
          <w:rFonts w:hint="eastAsia" w:ascii="宋体" w:hAnsi="宋体" w:eastAsia="宋体" w:cs="宋体"/>
          <w:i w:val="0"/>
          <w:iCs w:val="0"/>
          <w:caps w:val="0"/>
          <w:color w:val="252525"/>
          <w:spacing w:val="0"/>
          <w:sz w:val="24"/>
          <w:szCs w:val="24"/>
          <w:shd w:val="clear" w:fill="FFFFFF"/>
        </w:rPr>
        <w:t>倡导数字化教学路径、问题源头牵引、能力培养驱动、教学单元与学习单元灵活组合、跨界融合交叉、学做同向并行、多轮求证迭代、综合发展的智能化敏捷教学模式，培养适应商业与产业环境变化的学习能力与创新能力。</w:t>
      </w:r>
      <w:r>
        <w:rPr>
          <w:rFonts w:hint="eastAsia" w:ascii="宋体" w:hAnsi="宋体" w:eastAsia="宋体" w:cs="宋体"/>
          <w:i w:val="0"/>
          <w:iCs w:val="0"/>
          <w:caps w:val="0"/>
          <w:color w:val="252525"/>
          <w:spacing w:val="0"/>
          <w:sz w:val="24"/>
          <w:szCs w:val="24"/>
          <w:shd w:val="clear" w:fill="FFFFFF"/>
          <w:lang w:val="en-US" w:eastAsia="zh-CN"/>
        </w:rPr>
        <w:t>三是</w:t>
      </w:r>
      <w:r>
        <w:rPr>
          <w:rFonts w:hint="eastAsia" w:ascii="宋体" w:hAnsi="宋体" w:eastAsia="宋体" w:cs="宋体"/>
          <w:b/>
          <w:bCs/>
          <w:i w:val="0"/>
          <w:iCs w:val="0"/>
          <w:caps w:val="0"/>
          <w:color w:val="252525"/>
          <w:spacing w:val="0"/>
          <w:sz w:val="24"/>
          <w:szCs w:val="24"/>
          <w:shd w:val="clear" w:fill="FFFFFF"/>
        </w:rPr>
        <w:t>多学科专业跨界交叉融合</w:t>
      </w:r>
      <w:r>
        <w:rPr>
          <w:rFonts w:hint="eastAsia" w:ascii="宋体" w:hAnsi="宋体" w:eastAsia="宋体" w:cs="宋体"/>
          <w:b/>
          <w:bCs/>
          <w:i w:val="0"/>
          <w:iCs w:val="0"/>
          <w:caps w:val="0"/>
          <w:color w:val="252525"/>
          <w:spacing w:val="0"/>
          <w:sz w:val="24"/>
          <w:szCs w:val="24"/>
          <w:shd w:val="clear" w:fill="FFFFFF"/>
          <w:lang w:eastAsia="zh-CN"/>
        </w:rPr>
        <w:t>。</w:t>
      </w:r>
      <w:r>
        <w:rPr>
          <w:rFonts w:hint="eastAsia" w:ascii="宋体" w:hAnsi="宋体" w:eastAsia="宋体" w:cs="宋体"/>
          <w:i w:val="0"/>
          <w:iCs w:val="0"/>
          <w:caps w:val="0"/>
          <w:color w:val="252525"/>
          <w:spacing w:val="0"/>
          <w:sz w:val="24"/>
          <w:szCs w:val="24"/>
          <w:shd w:val="clear" w:fill="FFFFFF"/>
        </w:rPr>
        <w:t>“学院+</w:t>
      </w:r>
      <w:r>
        <w:rPr>
          <w:rFonts w:hint="eastAsia" w:cs="宋体"/>
          <w:i w:val="0"/>
          <w:iCs w:val="0"/>
          <w:caps w:val="0"/>
          <w:color w:val="252525"/>
          <w:spacing w:val="0"/>
          <w:sz w:val="24"/>
          <w:szCs w:val="24"/>
          <w:shd w:val="clear" w:fill="FFFFFF"/>
          <w:lang w:val="en-US" w:eastAsia="zh-CN"/>
        </w:rPr>
        <w:t>企业</w:t>
      </w:r>
      <w:r>
        <w:rPr>
          <w:rFonts w:hint="eastAsia" w:ascii="宋体" w:hAnsi="宋体" w:eastAsia="宋体" w:cs="宋体"/>
          <w:i w:val="0"/>
          <w:iCs w:val="0"/>
          <w:caps w:val="0"/>
          <w:color w:val="252525"/>
          <w:spacing w:val="0"/>
          <w:sz w:val="24"/>
          <w:szCs w:val="24"/>
          <w:shd w:val="clear" w:fill="FFFFFF"/>
        </w:rPr>
        <w:t>”</w:t>
      </w:r>
      <w:r>
        <w:rPr>
          <w:rFonts w:hint="eastAsia" w:cs="宋体"/>
          <w:i w:val="0"/>
          <w:iCs w:val="0"/>
          <w:caps w:val="0"/>
          <w:color w:val="252525"/>
          <w:spacing w:val="0"/>
          <w:sz w:val="24"/>
          <w:szCs w:val="24"/>
          <w:shd w:val="clear" w:fill="FFFFFF"/>
          <w:lang w:eastAsia="zh-CN"/>
        </w:rPr>
        <w:t>“</w:t>
      </w:r>
      <w:r>
        <w:rPr>
          <w:rFonts w:hint="eastAsia" w:cs="宋体"/>
          <w:i w:val="0"/>
          <w:iCs w:val="0"/>
          <w:caps w:val="0"/>
          <w:color w:val="252525"/>
          <w:spacing w:val="0"/>
          <w:sz w:val="24"/>
          <w:szCs w:val="24"/>
          <w:shd w:val="clear" w:fill="FFFFFF"/>
          <w:lang w:val="en-US" w:eastAsia="zh-CN"/>
        </w:rPr>
        <w:t>线上+线下</w:t>
      </w:r>
      <w:r>
        <w:rPr>
          <w:rFonts w:hint="eastAsia" w:cs="宋体"/>
          <w:i w:val="0"/>
          <w:iCs w:val="0"/>
          <w:caps w:val="0"/>
          <w:color w:val="252525"/>
          <w:spacing w:val="0"/>
          <w:sz w:val="24"/>
          <w:szCs w:val="24"/>
          <w:shd w:val="clear" w:fill="FFFFFF"/>
          <w:lang w:eastAsia="zh-CN"/>
        </w:rPr>
        <w:t>”</w:t>
      </w:r>
      <w:r>
        <w:rPr>
          <w:rFonts w:hint="eastAsia" w:ascii="宋体" w:hAnsi="宋体" w:eastAsia="宋体" w:cs="宋体"/>
          <w:i w:val="0"/>
          <w:iCs w:val="0"/>
          <w:caps w:val="0"/>
          <w:color w:val="252525"/>
          <w:spacing w:val="0"/>
          <w:sz w:val="24"/>
          <w:szCs w:val="24"/>
          <w:shd w:val="clear" w:fill="FFFFFF"/>
        </w:rPr>
        <w:t>“通识+专业”育人模式，“1+2+1”分方向人才培养模式，“培训+弹性实习+就业”实习模式</w:t>
      </w:r>
      <w:r>
        <w:rPr>
          <w:rFonts w:hint="eastAsia" w:cs="宋体"/>
          <w:i w:val="0"/>
          <w:iCs w:val="0"/>
          <w:caps w:val="0"/>
          <w:color w:val="252525"/>
          <w:spacing w:val="0"/>
          <w:sz w:val="24"/>
          <w:szCs w:val="24"/>
          <w:shd w:val="clear" w:fill="FFFFFF"/>
          <w:lang w:val="en-US" w:eastAsia="zh-CN"/>
        </w:rPr>
        <w:t>等。四是</w:t>
      </w:r>
      <w:r>
        <w:rPr>
          <w:rFonts w:hint="eastAsia" w:ascii="宋体" w:hAnsi="宋体" w:eastAsia="宋体"/>
          <w:b/>
          <w:bCs/>
          <w:kern w:val="0"/>
          <w:sz w:val="24"/>
          <w:szCs w:val="24"/>
        </w:rPr>
        <w:t>课程开设多样化模式</w:t>
      </w:r>
      <w:r>
        <w:rPr>
          <w:rFonts w:hint="eastAsia" w:ascii="宋体" w:hAnsi="宋体" w:eastAsia="宋体"/>
          <w:b/>
          <w:bCs/>
          <w:kern w:val="0"/>
          <w:sz w:val="24"/>
          <w:szCs w:val="24"/>
          <w:lang w:eastAsia="zh-CN"/>
        </w:rPr>
        <w:t>。</w:t>
      </w:r>
      <w:r>
        <w:rPr>
          <w:rFonts w:ascii="宋体" w:hAnsi="宋体" w:eastAsia="宋体"/>
          <w:kern w:val="0"/>
          <w:sz w:val="24"/>
          <w:szCs w:val="24"/>
        </w:rPr>
        <w:t>通过开放型课程体系、集成化教学模式、立体化合作平台的构建，全面整合和优化教学资源，为新商科“Π型”人才柔性培养提供了有力保障。</w:t>
      </w:r>
      <w:r>
        <w:rPr>
          <w:rFonts w:hint="eastAsia" w:ascii="宋体" w:hAnsi="宋体" w:eastAsia="宋体"/>
          <w:kern w:val="0"/>
          <w:sz w:val="24"/>
          <w:szCs w:val="24"/>
          <w:lang w:val="en-US" w:eastAsia="zh-CN"/>
        </w:rPr>
        <w:t>五是</w:t>
      </w:r>
      <w:r>
        <w:rPr>
          <w:rFonts w:hint="eastAsia" w:ascii="宋体" w:hAnsi="宋体" w:eastAsia="宋体" w:cs="宋体"/>
          <w:b/>
          <w:bCs/>
          <w:i w:val="0"/>
          <w:iCs w:val="0"/>
          <w:caps w:val="0"/>
          <w:color w:val="252525"/>
          <w:spacing w:val="0"/>
          <w:sz w:val="24"/>
          <w:szCs w:val="24"/>
          <w:shd w:val="clear" w:fill="FFFFFF"/>
        </w:rPr>
        <w:t>多路径国际化联合培养</w:t>
      </w:r>
      <w:r>
        <w:rPr>
          <w:rFonts w:hint="eastAsia" w:ascii="宋体" w:hAnsi="宋体" w:eastAsia="宋体" w:cs="宋体"/>
          <w:b/>
          <w:bCs/>
          <w:i w:val="0"/>
          <w:iCs w:val="0"/>
          <w:caps w:val="0"/>
          <w:color w:val="252525"/>
          <w:spacing w:val="0"/>
          <w:sz w:val="24"/>
          <w:szCs w:val="24"/>
          <w:shd w:val="clear" w:fill="FFFFFF"/>
          <w:lang w:eastAsia="zh-CN"/>
        </w:rPr>
        <w:t>。</w:t>
      </w:r>
      <w:r>
        <w:rPr>
          <w:rFonts w:hint="eastAsia" w:ascii="宋体" w:hAnsi="宋体" w:eastAsia="宋体" w:cs="宋体"/>
          <w:i w:val="0"/>
          <w:iCs w:val="0"/>
          <w:caps w:val="0"/>
          <w:color w:val="252525"/>
          <w:spacing w:val="0"/>
          <w:sz w:val="24"/>
          <w:szCs w:val="24"/>
          <w:shd w:val="clear" w:fill="FFFFFF"/>
        </w:rPr>
        <w:t>加强与国外知名高校间的深度合作，实施“X+2”跨国多校联合人才培养模式、知名跨国集团实习与交换学习项目，培养与提高实习生未来职业生涯的国际化竞争力。</w:t>
      </w:r>
    </w:p>
    <w:p w14:paraId="1B5E9A6B">
      <w:pPr>
        <w:keepNext w:val="0"/>
        <w:keepLines w:val="0"/>
        <w:pageBreakBefore w:val="0"/>
        <w:numPr>
          <w:ilvl w:val="0"/>
          <w:numId w:val="1"/>
        </w:numPr>
        <w:kinsoku/>
        <w:wordWrap/>
        <w:overflowPunct/>
        <w:topLinePunct w:val="0"/>
        <w:autoSpaceDN/>
        <w:bidi w:val="0"/>
        <w:adjustRightInd/>
        <w:snapToGrid/>
        <w:spacing w:line="500" w:lineRule="exact"/>
        <w:ind w:firstLine="562" w:firstLineChars="200"/>
        <w:textAlignment w:val="auto"/>
        <w:rPr>
          <w:rFonts w:hint="eastAsia" w:ascii="黑体" w:hAnsi="黑体" w:eastAsia="黑体" w:cs="黑体"/>
          <w:b/>
          <w:bCs/>
          <w:kern w:val="0"/>
          <w:sz w:val="28"/>
          <w:szCs w:val="28"/>
          <w:lang w:val="en-US" w:eastAsia="zh-CN"/>
        </w:rPr>
      </w:pPr>
      <w:r>
        <w:rPr>
          <w:rFonts w:hint="eastAsia" w:ascii="黑体" w:hAnsi="黑体" w:eastAsia="黑体" w:cs="黑体"/>
          <w:b/>
          <w:bCs/>
          <w:kern w:val="0"/>
          <w:sz w:val="28"/>
          <w:szCs w:val="28"/>
          <w:lang w:val="en-US" w:eastAsia="zh-CN"/>
        </w:rPr>
        <w:t>落实质保机制</w:t>
      </w:r>
    </w:p>
    <w:p w14:paraId="4BBFEC82">
      <w:pPr>
        <w:keepNext w:val="0"/>
        <w:keepLines w:val="0"/>
        <w:pageBreakBefore w:val="0"/>
        <w:numPr>
          <w:ilvl w:val="0"/>
          <w:numId w:val="0"/>
        </w:numPr>
        <w:kinsoku/>
        <w:wordWrap/>
        <w:overflowPunct/>
        <w:topLinePunct w:val="0"/>
        <w:autoSpaceDN/>
        <w:bidi w:val="0"/>
        <w:adjustRightInd/>
        <w:snapToGrid/>
        <w:spacing w:line="500" w:lineRule="exact"/>
        <w:textAlignment w:val="auto"/>
        <w:rPr>
          <w:rFonts w:hint="default" w:ascii="宋体" w:hAnsi="宋体" w:eastAsia="宋体" w:cs="宋体"/>
          <w:i w:val="0"/>
          <w:iCs w:val="0"/>
          <w:caps w:val="0"/>
          <w:color w:val="252525"/>
          <w:spacing w:val="0"/>
          <w:sz w:val="24"/>
          <w:szCs w:val="24"/>
          <w:shd w:val="clear" w:fill="FFFFFF"/>
          <w:lang w:val="en-US" w:eastAsia="zh-CN"/>
        </w:rPr>
      </w:pPr>
      <w:r>
        <w:rPr>
          <w:rFonts w:hint="eastAsia" w:ascii="黑体" w:hAnsi="黑体" w:eastAsia="黑体" w:cs="黑体"/>
          <w:b/>
          <w:bCs/>
          <w:kern w:val="0"/>
          <w:sz w:val="28"/>
          <w:szCs w:val="28"/>
          <w:lang w:val="en-US" w:eastAsia="zh-CN"/>
        </w:rPr>
        <w:t xml:space="preserve">  </w:t>
      </w:r>
      <w:r>
        <w:rPr>
          <w:rFonts w:hint="eastAsia" w:ascii="宋体" w:hAnsi="宋体" w:eastAsia="宋体" w:cs="宋体"/>
          <w:i w:val="0"/>
          <w:iCs w:val="0"/>
          <w:caps w:val="0"/>
          <w:color w:val="252525"/>
          <w:spacing w:val="0"/>
          <w:sz w:val="24"/>
          <w:szCs w:val="24"/>
          <w:shd w:val="clear" w:fill="FFFFFF"/>
          <w:lang w:val="en-US" w:eastAsia="zh-CN"/>
        </w:rPr>
        <w:t xml:space="preserve"> 为持续提升人才培养质量，经济与管理学院积极构建并落实质量保障体系。</w:t>
      </w:r>
      <w:r>
        <w:rPr>
          <w:rFonts w:hint="eastAsia" w:ascii="宋体" w:hAnsi="宋体" w:eastAsia="宋体" w:cs="宋体"/>
          <w:b/>
          <w:bCs/>
          <w:i w:val="0"/>
          <w:iCs w:val="0"/>
          <w:caps w:val="0"/>
          <w:color w:val="252525"/>
          <w:spacing w:val="0"/>
          <w:sz w:val="24"/>
          <w:szCs w:val="24"/>
          <w:shd w:val="clear" w:fill="FFFFFF"/>
          <w:lang w:val="en-US" w:eastAsia="zh-CN"/>
        </w:rPr>
        <w:t>一是构建质量标准</w:t>
      </w:r>
      <w:r>
        <w:rPr>
          <w:rFonts w:hint="eastAsia" w:ascii="宋体" w:hAnsi="宋体" w:eastAsia="宋体" w:cs="宋体"/>
          <w:i w:val="0"/>
          <w:iCs w:val="0"/>
          <w:caps w:val="0"/>
          <w:color w:val="252525"/>
          <w:spacing w:val="0"/>
          <w:sz w:val="24"/>
          <w:szCs w:val="24"/>
          <w:shd w:val="clear" w:fill="FFFFFF"/>
          <w:lang w:val="en-US" w:eastAsia="zh-CN"/>
        </w:rPr>
        <w:t>。经济与管理学院以学校办学定位为根本制定自身办学定位和人才培养目标，构建全环节质量标准。出台出台了《经济与管理学院本科教学质量监控及评价制度》《经济与管理学院理论课程教学质量标准（修订）》《经济与管理学院实践教学质量控制制度》等一系列规章制度，规范评价、反馈与改进工作程序。</w:t>
      </w:r>
      <w:r>
        <w:rPr>
          <w:rFonts w:hint="eastAsia" w:ascii="宋体" w:hAnsi="宋体" w:eastAsia="宋体" w:cs="宋体"/>
          <w:b/>
          <w:bCs/>
          <w:i w:val="0"/>
          <w:iCs w:val="0"/>
          <w:caps w:val="0"/>
          <w:color w:val="252525"/>
          <w:spacing w:val="0"/>
          <w:sz w:val="24"/>
          <w:szCs w:val="24"/>
          <w:shd w:val="clear" w:fill="FFFFFF"/>
          <w:lang w:val="en-US" w:eastAsia="zh-CN"/>
        </w:rPr>
        <w:t>二是建立院级督导</w:t>
      </w:r>
      <w:r>
        <w:rPr>
          <w:rFonts w:hint="eastAsia" w:ascii="宋体" w:hAnsi="宋体" w:eastAsia="宋体" w:cs="宋体"/>
          <w:i w:val="0"/>
          <w:iCs w:val="0"/>
          <w:caps w:val="0"/>
          <w:color w:val="252525"/>
          <w:spacing w:val="0"/>
          <w:sz w:val="24"/>
          <w:szCs w:val="24"/>
          <w:shd w:val="clear" w:fill="FFFFFF"/>
          <w:lang w:val="en-US" w:eastAsia="zh-CN"/>
        </w:rPr>
        <w:t>。实行院级督导“包干制”，即每位督导负责7-8名专任老师的日常教学质量，适时检验学校日常的教育教学工作，了解实际教学水平，对所有教育教学过程、教学文档实施质量进行监控，切实提升教学质量。</w:t>
      </w:r>
      <w:r>
        <w:rPr>
          <w:rFonts w:hint="eastAsia" w:ascii="宋体" w:hAnsi="宋体" w:eastAsia="宋体" w:cs="宋体"/>
          <w:b/>
          <w:bCs/>
          <w:i w:val="0"/>
          <w:iCs w:val="0"/>
          <w:caps w:val="0"/>
          <w:color w:val="252525"/>
          <w:spacing w:val="0"/>
          <w:sz w:val="24"/>
          <w:szCs w:val="24"/>
          <w:shd w:val="clear" w:fill="FFFFFF"/>
          <w:lang w:val="en-US" w:eastAsia="zh-CN"/>
        </w:rPr>
        <w:t>三是构建教学质量保障体系</w:t>
      </w:r>
      <w:r>
        <w:rPr>
          <w:rFonts w:hint="eastAsia" w:ascii="宋体" w:hAnsi="宋体" w:eastAsia="宋体" w:cs="宋体"/>
          <w:i w:val="0"/>
          <w:iCs w:val="0"/>
          <w:caps w:val="0"/>
          <w:color w:val="252525"/>
          <w:spacing w:val="0"/>
          <w:sz w:val="24"/>
          <w:szCs w:val="24"/>
          <w:shd w:val="clear" w:fill="FFFFFF"/>
          <w:lang w:val="en-US" w:eastAsia="zh-CN"/>
        </w:rPr>
        <w:t>。经济与管理学院构建的教学质量保障体系，涵盖了质量决策、目标管理、质量标准、条件支持、信息收集、质量评估、质量反馈、持续改进八个子系统，实现了本科教学质量全过程控制、多方位监控，形成了“评估-反馈-改进-提高”的质量保障闭环机制，为毕业要求达成提供了有力保障。</w:t>
      </w:r>
      <w:r>
        <w:rPr>
          <w:rFonts w:hint="eastAsia" w:ascii="宋体" w:hAnsi="宋体" w:eastAsia="宋体" w:cs="宋体"/>
          <w:b/>
          <w:bCs/>
          <w:i w:val="0"/>
          <w:iCs w:val="0"/>
          <w:caps w:val="0"/>
          <w:color w:val="252525"/>
          <w:spacing w:val="0"/>
          <w:sz w:val="24"/>
          <w:szCs w:val="24"/>
          <w:shd w:val="clear" w:fill="FFFFFF"/>
          <w:lang w:val="en-US" w:eastAsia="zh-CN"/>
        </w:rPr>
        <w:t>四是建立磨课制度</w:t>
      </w:r>
      <w:r>
        <w:rPr>
          <w:rFonts w:hint="eastAsia" w:ascii="宋体" w:hAnsi="宋体" w:eastAsia="宋体" w:cs="宋体"/>
          <w:i w:val="0"/>
          <w:iCs w:val="0"/>
          <w:caps w:val="0"/>
          <w:color w:val="252525"/>
          <w:spacing w:val="0"/>
          <w:sz w:val="24"/>
          <w:szCs w:val="24"/>
          <w:shd w:val="clear" w:fill="FFFFFF"/>
          <w:lang w:val="en-US" w:eastAsia="zh-CN"/>
        </w:rPr>
        <w:t>。每个学期每个老师通过15分钟课堂展示，让其他老师提建议。有利于课题教学质量的优化与升级。</w:t>
      </w:r>
    </w:p>
    <w:p w14:paraId="326FA404">
      <w:pPr>
        <w:keepNext w:val="0"/>
        <w:keepLines w:val="0"/>
        <w:pageBreakBefore w:val="0"/>
        <w:kinsoku/>
        <w:wordWrap/>
        <w:overflowPunct/>
        <w:topLinePunct w:val="0"/>
        <w:autoSpaceDN/>
        <w:bidi w:val="0"/>
        <w:adjustRightInd/>
        <w:snapToGrid/>
        <w:spacing w:line="500" w:lineRule="exact"/>
        <w:textAlignment w:val="auto"/>
        <w:rPr>
          <w:rFonts w:hint="eastAsia" w:ascii="宋体" w:hAnsi="宋体" w:eastAsia="宋体"/>
          <w:b/>
          <w:bCs/>
          <w:kern w:val="0"/>
          <w:sz w:val="24"/>
          <w:szCs w:val="24"/>
        </w:rPr>
      </w:pPr>
      <w:r>
        <w:rPr>
          <w:rFonts w:hint="eastAsia" w:ascii="宋体" w:hAnsi="宋体" w:eastAsia="宋体"/>
          <w:b/>
          <w:bCs/>
          <w:kern w:val="0"/>
          <w:sz w:val="24"/>
          <w:szCs w:val="24"/>
        </w:rPr>
        <w:t xml:space="preserve"> </w:t>
      </w:r>
      <w:r>
        <w:rPr>
          <w:rFonts w:hint="eastAsia" w:ascii="宋体" w:hAnsi="宋体" w:eastAsia="宋体"/>
          <w:b/>
          <w:bCs/>
          <w:kern w:val="0"/>
          <w:sz w:val="24"/>
          <w:szCs w:val="24"/>
          <w:lang w:val="en-US" w:eastAsia="zh-CN"/>
        </w:rPr>
        <w:t xml:space="preserve"> </w:t>
      </w:r>
      <w:r>
        <w:rPr>
          <w:rFonts w:hint="eastAsia" w:ascii="宋体" w:hAnsi="宋体" w:eastAsia="宋体"/>
          <w:b/>
          <w:bCs/>
          <w:kern w:val="0"/>
          <w:sz w:val="24"/>
          <w:szCs w:val="24"/>
        </w:rPr>
        <w:t xml:space="preserve"> </w:t>
      </w:r>
      <w:r>
        <w:rPr>
          <w:rFonts w:hint="eastAsia" w:ascii="黑体" w:hAnsi="黑体" w:eastAsia="黑体" w:cs="黑体"/>
          <w:b/>
          <w:bCs/>
          <w:kern w:val="0"/>
          <w:sz w:val="28"/>
          <w:szCs w:val="28"/>
          <w:lang w:val="en-US" w:eastAsia="zh-CN"/>
        </w:rPr>
        <w:t xml:space="preserve"> 四</w:t>
      </w:r>
      <w:r>
        <w:rPr>
          <w:rFonts w:hint="eastAsia" w:ascii="黑体" w:hAnsi="黑体" w:eastAsia="黑体" w:cs="黑体"/>
          <w:b/>
          <w:bCs/>
          <w:kern w:val="0"/>
          <w:sz w:val="28"/>
          <w:szCs w:val="28"/>
        </w:rPr>
        <w:t>、</w:t>
      </w:r>
      <w:r>
        <w:rPr>
          <w:rFonts w:hint="eastAsia" w:ascii="黑体" w:hAnsi="黑体" w:eastAsia="黑体" w:cs="黑体"/>
          <w:b/>
          <w:bCs/>
          <w:kern w:val="0"/>
          <w:sz w:val="28"/>
          <w:szCs w:val="28"/>
          <w:lang w:val="en-US" w:eastAsia="zh-CN"/>
        </w:rPr>
        <w:t>强化</w:t>
      </w:r>
      <w:r>
        <w:rPr>
          <w:rFonts w:hint="eastAsia" w:ascii="黑体" w:hAnsi="黑体" w:eastAsia="黑体" w:cs="黑体"/>
          <w:b/>
          <w:bCs/>
          <w:kern w:val="0"/>
          <w:sz w:val="28"/>
          <w:szCs w:val="28"/>
        </w:rPr>
        <w:t>课堂教学</w:t>
      </w:r>
      <w:r>
        <w:rPr>
          <w:rFonts w:hint="eastAsia" w:ascii="黑体" w:hAnsi="黑体" w:eastAsia="黑体" w:cs="黑体"/>
          <w:b/>
          <w:bCs/>
          <w:kern w:val="0"/>
          <w:sz w:val="28"/>
          <w:szCs w:val="28"/>
          <w:lang w:val="en-US" w:eastAsia="zh-CN"/>
        </w:rPr>
        <w:t>创新</w:t>
      </w:r>
      <w:r>
        <w:rPr>
          <w:rFonts w:hint="eastAsia" w:ascii="黑体" w:hAnsi="黑体" w:eastAsia="黑体" w:cs="黑体"/>
          <w:b/>
          <w:bCs/>
          <w:kern w:val="0"/>
          <w:sz w:val="28"/>
          <w:szCs w:val="28"/>
        </w:rPr>
        <w:t xml:space="preserve">  </w:t>
      </w:r>
    </w:p>
    <w:p w14:paraId="7657484C">
      <w:pPr>
        <w:keepNext w:val="0"/>
        <w:keepLines w:val="0"/>
        <w:pageBreakBefore w:val="0"/>
        <w:widowControl/>
        <w:kinsoku/>
        <w:wordWrap/>
        <w:overflowPunct/>
        <w:topLinePunct w:val="0"/>
        <w:autoSpaceDE w:val="0"/>
        <w:autoSpaceDN/>
        <w:bidi w:val="0"/>
        <w:adjustRightInd/>
        <w:snapToGrid/>
        <w:spacing w:line="500" w:lineRule="exact"/>
        <w:ind w:firstLine="480" w:firstLineChars="200"/>
        <w:jc w:val="left"/>
        <w:textAlignment w:val="auto"/>
        <w:rPr>
          <w:rFonts w:hint="eastAsia" w:ascii="黑体" w:hAnsi="黑体" w:eastAsia="黑体" w:cs="黑体"/>
          <w:b/>
          <w:bCs/>
          <w:kern w:val="0"/>
          <w:sz w:val="28"/>
          <w:szCs w:val="28"/>
        </w:rPr>
      </w:pPr>
      <w:r>
        <w:rPr>
          <w:rFonts w:hint="eastAsia" w:ascii="宋体" w:hAnsi="宋体" w:eastAsia="宋体"/>
          <w:kern w:val="0"/>
          <w:sz w:val="24"/>
          <w:szCs w:val="24"/>
          <w:lang w:val="en-US" w:eastAsia="zh-CN"/>
        </w:rPr>
        <w:t>一是</w:t>
      </w:r>
      <w:r>
        <w:rPr>
          <w:rFonts w:hint="eastAsia" w:ascii="宋体" w:hAnsi="宋体" w:eastAsia="宋体"/>
          <w:b/>
          <w:bCs/>
          <w:kern w:val="0"/>
          <w:sz w:val="24"/>
          <w:szCs w:val="24"/>
          <w:lang w:val="en-US" w:eastAsia="zh-CN"/>
        </w:rPr>
        <w:t>创新课堂教学示范效应</w:t>
      </w:r>
      <w:r>
        <w:rPr>
          <w:rFonts w:hint="eastAsia" w:ascii="宋体" w:hAnsi="宋体" w:eastAsia="宋体"/>
          <w:kern w:val="0"/>
          <w:sz w:val="24"/>
          <w:szCs w:val="24"/>
          <w:lang w:val="en-US" w:eastAsia="zh-CN"/>
        </w:rPr>
        <w:t>。在全校率先与</w:t>
      </w:r>
      <w:r>
        <w:rPr>
          <w:rFonts w:hint="eastAsia" w:ascii="宋体" w:hAnsi="宋体" w:eastAsia="宋体"/>
          <w:kern w:val="0"/>
          <w:sz w:val="24"/>
          <w:szCs w:val="24"/>
        </w:rPr>
        <w:t>邵阳学院教务处联合推出“优秀公开示范课堂”活动首场公开课并同步进行在线直播</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该模式在全校各二级学院推广。二是</w:t>
      </w:r>
      <w:r>
        <w:rPr>
          <w:rFonts w:hint="eastAsia" w:ascii="宋体" w:hAnsi="宋体" w:eastAsia="宋体"/>
          <w:b/>
          <w:bCs/>
          <w:kern w:val="0"/>
          <w:sz w:val="24"/>
          <w:szCs w:val="24"/>
          <w:lang w:val="en-US" w:eastAsia="zh-CN"/>
        </w:rPr>
        <w:t>积极组织</w:t>
      </w:r>
      <w:r>
        <w:rPr>
          <w:rFonts w:hint="eastAsia" w:ascii="宋体" w:hAnsi="宋体" w:eastAsia="宋体"/>
          <w:b/>
          <w:bCs/>
          <w:kern w:val="0"/>
          <w:sz w:val="24"/>
          <w:szCs w:val="24"/>
        </w:rPr>
        <w:t>教学比武</w:t>
      </w:r>
      <w:r>
        <w:rPr>
          <w:rFonts w:hint="eastAsia" w:ascii="宋体" w:hAnsi="宋体" w:eastAsia="宋体"/>
          <w:b/>
          <w:bCs/>
          <w:kern w:val="0"/>
          <w:sz w:val="24"/>
          <w:szCs w:val="24"/>
          <w:lang w:eastAsia="zh-CN"/>
        </w:rPr>
        <w:t>。</w:t>
      </w:r>
      <w:r>
        <w:rPr>
          <w:rFonts w:hint="eastAsia" w:ascii="宋体" w:hAnsi="宋体" w:eastAsia="宋体"/>
          <w:kern w:val="0"/>
          <w:sz w:val="24"/>
          <w:szCs w:val="24"/>
        </w:rPr>
        <w:t>学院与校工会联合</w:t>
      </w:r>
      <w:r>
        <w:rPr>
          <w:rFonts w:hint="eastAsia" w:ascii="宋体" w:hAnsi="宋体" w:eastAsia="宋体"/>
          <w:kern w:val="0"/>
          <w:sz w:val="24"/>
          <w:szCs w:val="24"/>
          <w:lang w:val="en-US" w:eastAsia="zh-CN"/>
        </w:rPr>
        <w:t>每年</w:t>
      </w:r>
      <w:r>
        <w:rPr>
          <w:rFonts w:hint="eastAsia" w:ascii="宋体" w:hAnsi="宋体" w:eastAsia="宋体"/>
          <w:kern w:val="0"/>
          <w:sz w:val="24"/>
          <w:szCs w:val="24"/>
        </w:rPr>
        <w:t>举办学院青年教师教学比武、课程思政教学比武、信息化教学比武等系列教学比武活动，旨在以赛促教，让更多的老师参与其中，探讨教学、改进教学</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成效显著，学院教师近3年在省级各类课堂教学竞赛创佳绩，获省级一等奖1项、二等奖2项、三等奖3项</w:t>
      </w:r>
      <w:r>
        <w:rPr>
          <w:rFonts w:hint="eastAsia" w:ascii="宋体" w:hAnsi="宋体" w:eastAsia="宋体"/>
          <w:kern w:val="0"/>
          <w:sz w:val="24"/>
          <w:szCs w:val="24"/>
        </w:rPr>
        <w:t>。</w:t>
      </w:r>
      <w:r>
        <w:rPr>
          <w:rFonts w:hint="eastAsia" w:ascii="宋体" w:hAnsi="宋体" w:eastAsia="宋体"/>
          <w:kern w:val="0"/>
          <w:sz w:val="24"/>
          <w:szCs w:val="24"/>
          <w:lang w:val="en-US" w:eastAsia="zh-CN"/>
        </w:rPr>
        <w:t>三是</w:t>
      </w:r>
      <w:r>
        <w:rPr>
          <w:rFonts w:hint="eastAsia" w:ascii="宋体" w:hAnsi="宋体" w:eastAsia="宋体"/>
          <w:b/>
          <w:bCs/>
          <w:kern w:val="0"/>
          <w:sz w:val="24"/>
          <w:szCs w:val="24"/>
          <w:lang w:val="en-US" w:eastAsia="zh-CN"/>
        </w:rPr>
        <w:t>常态化开展</w:t>
      </w:r>
      <w:r>
        <w:rPr>
          <w:rFonts w:hint="eastAsia" w:ascii="宋体" w:hAnsi="宋体" w:eastAsia="宋体"/>
          <w:b/>
          <w:bCs/>
          <w:kern w:val="0"/>
          <w:sz w:val="24"/>
          <w:szCs w:val="24"/>
        </w:rPr>
        <w:t>教学研讨</w:t>
      </w:r>
      <w:r>
        <w:rPr>
          <w:rFonts w:hint="eastAsia" w:ascii="宋体" w:hAnsi="宋体" w:eastAsia="宋体"/>
          <w:b/>
          <w:bCs/>
          <w:kern w:val="0"/>
          <w:sz w:val="24"/>
          <w:szCs w:val="24"/>
          <w:lang w:eastAsia="zh-CN"/>
        </w:rPr>
        <w:t>。</w:t>
      </w:r>
      <w:r>
        <w:rPr>
          <w:rFonts w:hint="eastAsia" w:ascii="宋体" w:hAnsi="宋体" w:eastAsia="宋体"/>
          <w:kern w:val="0"/>
          <w:sz w:val="24"/>
          <w:szCs w:val="24"/>
        </w:rPr>
        <w:t>以教研室为单位，每个月围绕教学改进、课堂备课、学生激励、试卷探索、教改案例等举办教学研讨活动。</w:t>
      </w:r>
    </w:p>
    <w:p w14:paraId="29F1E8A4">
      <w:pPr>
        <w:keepNext w:val="0"/>
        <w:keepLines w:val="0"/>
        <w:pageBreakBefore w:val="0"/>
        <w:kinsoku/>
        <w:wordWrap/>
        <w:overflowPunct/>
        <w:topLinePunct w:val="0"/>
        <w:autoSpaceDN/>
        <w:bidi w:val="0"/>
        <w:adjustRightInd/>
        <w:snapToGrid/>
        <w:spacing w:line="500" w:lineRule="exact"/>
        <w:ind w:firstLine="562" w:firstLineChars="200"/>
        <w:textAlignment w:val="auto"/>
        <w:rPr>
          <w:rFonts w:hint="eastAsia" w:ascii="黑体" w:hAnsi="黑体" w:eastAsia="黑体" w:cs="黑体"/>
          <w:b/>
          <w:bCs/>
          <w:kern w:val="0"/>
          <w:sz w:val="28"/>
          <w:szCs w:val="28"/>
        </w:rPr>
      </w:pPr>
      <w:r>
        <w:rPr>
          <w:rFonts w:hint="eastAsia" w:ascii="黑体" w:hAnsi="黑体" w:eastAsia="黑体" w:cs="黑体"/>
          <w:b/>
          <w:bCs/>
          <w:kern w:val="0"/>
          <w:sz w:val="28"/>
          <w:szCs w:val="28"/>
        </w:rPr>
        <w:t>五、</w:t>
      </w:r>
      <w:r>
        <w:rPr>
          <w:rFonts w:hint="eastAsia" w:ascii="黑体" w:hAnsi="黑体" w:eastAsia="黑体" w:cs="黑体"/>
          <w:b/>
          <w:bCs/>
          <w:kern w:val="0"/>
          <w:sz w:val="28"/>
          <w:szCs w:val="28"/>
          <w:lang w:val="en-US" w:eastAsia="zh-CN"/>
        </w:rPr>
        <w:t>多途径谋划</w:t>
      </w:r>
      <w:r>
        <w:rPr>
          <w:rFonts w:hint="eastAsia" w:ascii="黑体" w:hAnsi="黑体" w:eastAsia="黑体" w:cs="黑体"/>
          <w:b/>
          <w:bCs/>
          <w:kern w:val="0"/>
          <w:sz w:val="28"/>
          <w:szCs w:val="28"/>
        </w:rPr>
        <w:t>实践教学</w:t>
      </w:r>
    </w:p>
    <w:p w14:paraId="35AFA9DB">
      <w:pPr>
        <w:keepNext w:val="0"/>
        <w:keepLines w:val="0"/>
        <w:pageBreakBefore w:val="0"/>
        <w:widowControl/>
        <w:kinsoku/>
        <w:wordWrap/>
        <w:overflowPunct/>
        <w:topLinePunct w:val="0"/>
        <w:autoSpaceDE w:val="0"/>
        <w:autoSpaceDN/>
        <w:bidi w:val="0"/>
        <w:adjustRightInd/>
        <w:snapToGrid/>
        <w:spacing w:line="500" w:lineRule="exact"/>
        <w:ind w:firstLine="482" w:firstLineChars="200"/>
        <w:jc w:val="left"/>
        <w:textAlignment w:val="auto"/>
        <w:rPr>
          <w:rFonts w:ascii="宋体" w:hAnsi="宋体" w:eastAsia="宋体"/>
          <w:kern w:val="0"/>
          <w:sz w:val="24"/>
          <w:szCs w:val="24"/>
        </w:rPr>
      </w:pPr>
      <w:r>
        <w:rPr>
          <w:rFonts w:hint="eastAsia" w:ascii="宋体" w:hAnsi="宋体" w:eastAsia="宋体"/>
          <w:b/>
          <w:bCs/>
          <w:kern w:val="0"/>
          <w:sz w:val="24"/>
          <w:szCs w:val="24"/>
          <w:lang w:val="en-US" w:eastAsia="zh-CN"/>
        </w:rPr>
        <w:t>一是探索校政企联合实习模式。与</w:t>
      </w:r>
      <w:r>
        <w:rPr>
          <w:rFonts w:hint="eastAsia" w:ascii="宋体" w:hAnsi="宋体" w:eastAsia="宋体"/>
          <w:kern w:val="0"/>
          <w:sz w:val="24"/>
          <w:szCs w:val="24"/>
        </w:rPr>
        <w:t>邵阳县、新宁县、隆回县、北塔区、洞口县、双清区、邵阳市发改委等政府部门展开实践教学合作</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让学生了解更深入的了解宏观政策以及提升治理能力；</w:t>
      </w:r>
      <w:r>
        <w:rPr>
          <w:rFonts w:hint="eastAsia" w:ascii="宋体" w:hAnsi="宋体" w:eastAsia="宋体"/>
          <w:kern w:val="0"/>
          <w:sz w:val="24"/>
          <w:szCs w:val="24"/>
        </w:rPr>
        <w:t>与中信银行、交通银行、邵阳市博物馆、湖南省质量标准化协会、邵阳市海关等单位合作</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让学生能够将理论知识更进一步实践；</w:t>
      </w:r>
      <w:r>
        <w:rPr>
          <w:rFonts w:ascii="宋体" w:hAnsi="宋体" w:eastAsia="宋体"/>
          <w:kern w:val="0"/>
          <w:sz w:val="24"/>
          <w:szCs w:val="24"/>
        </w:rPr>
        <w:t>先后与</w:t>
      </w:r>
      <w:r>
        <w:rPr>
          <w:rFonts w:hint="eastAsia" w:ascii="宋体" w:hAnsi="宋体" w:eastAsia="宋体"/>
          <w:kern w:val="0"/>
          <w:sz w:val="24"/>
          <w:szCs w:val="24"/>
        </w:rPr>
        <w:t>富士电梯</w:t>
      </w:r>
      <w:r>
        <w:rPr>
          <w:rFonts w:ascii="宋体" w:hAnsi="宋体" w:eastAsia="宋体"/>
          <w:kern w:val="0"/>
          <w:sz w:val="24"/>
          <w:szCs w:val="24"/>
        </w:rPr>
        <w:t>、邵阳维克液压、</w:t>
      </w:r>
      <w:r>
        <w:rPr>
          <w:rFonts w:hint="eastAsia" w:ascii="宋体" w:hAnsi="宋体" w:eastAsia="宋体"/>
          <w:kern w:val="0"/>
          <w:sz w:val="24"/>
          <w:szCs w:val="24"/>
        </w:rPr>
        <w:t>邵东智能制造研究院、醇龙箱包</w:t>
      </w:r>
      <w:r>
        <w:rPr>
          <w:rFonts w:ascii="宋体" w:hAnsi="宋体" w:eastAsia="宋体"/>
          <w:kern w:val="0"/>
          <w:sz w:val="24"/>
          <w:szCs w:val="24"/>
        </w:rPr>
        <w:t>等20余家企业开展校企合作，实现“产教融合、资源共享”，共定人才培养目标、共商课程设置、共建产学研合作平台，共同培养企业所需的应用型、创新型人才。</w:t>
      </w:r>
    </w:p>
    <w:p w14:paraId="5ACA30DC">
      <w:pPr>
        <w:keepNext w:val="0"/>
        <w:keepLines w:val="0"/>
        <w:pageBreakBefore w:val="0"/>
        <w:widowControl/>
        <w:kinsoku/>
        <w:wordWrap/>
        <w:overflowPunct/>
        <w:topLinePunct w:val="0"/>
        <w:autoSpaceDE w:val="0"/>
        <w:autoSpaceDN/>
        <w:bidi w:val="0"/>
        <w:adjustRightInd/>
        <w:snapToGrid/>
        <w:spacing w:line="500" w:lineRule="exact"/>
        <w:ind w:firstLine="482" w:firstLineChars="200"/>
        <w:jc w:val="left"/>
        <w:textAlignment w:val="auto"/>
        <w:rPr>
          <w:rFonts w:hint="eastAsia" w:ascii="宋体" w:hAnsi="宋体" w:eastAsia="宋体"/>
          <w:kern w:val="0"/>
          <w:sz w:val="24"/>
          <w:szCs w:val="24"/>
          <w:lang w:val="en-US" w:eastAsia="zh-CN"/>
        </w:rPr>
      </w:pPr>
      <w:r>
        <w:rPr>
          <w:rFonts w:hint="eastAsia" w:ascii="宋体" w:hAnsi="宋体" w:eastAsia="宋体"/>
          <w:b/>
          <w:bCs/>
          <w:kern w:val="0"/>
          <w:sz w:val="24"/>
          <w:szCs w:val="24"/>
          <w:lang w:val="en-US" w:eastAsia="zh-CN"/>
        </w:rPr>
        <w:t>二是践行乡村振兴实践育人模式</w:t>
      </w:r>
      <w:r>
        <w:rPr>
          <w:rFonts w:hint="eastAsia" w:ascii="宋体" w:hAnsi="宋体" w:eastAsia="宋体"/>
          <w:kern w:val="0"/>
          <w:sz w:val="24"/>
          <w:szCs w:val="24"/>
          <w:lang w:val="en-US" w:eastAsia="zh-CN"/>
        </w:rPr>
        <w:t>。充分发挥基层党建引领作用，履行“经世致用”使命，解决农村、农业、农民切实关注的问题。把“三农”比较迫切的问题编进教案、走进课堂，依据农村需要、产业需求、农民所盼构建“振乡课程体系”，以“校地合作”“院村结对”“电商带货”“品牌包装”等形式，引导毕业生到基层就业创业，为推进邵阳市乡村振兴、服务地方经济文化建设贡献了邵院智慧。</w:t>
      </w:r>
    </w:p>
    <w:p w14:paraId="315D7CA9">
      <w:pPr>
        <w:keepNext w:val="0"/>
        <w:keepLines w:val="0"/>
        <w:pageBreakBefore w:val="0"/>
        <w:widowControl/>
        <w:kinsoku/>
        <w:wordWrap/>
        <w:overflowPunct/>
        <w:topLinePunct w:val="0"/>
        <w:autoSpaceDE w:val="0"/>
        <w:autoSpaceDN/>
        <w:bidi w:val="0"/>
        <w:adjustRightInd/>
        <w:snapToGrid/>
        <w:spacing w:line="500" w:lineRule="exact"/>
        <w:ind w:firstLine="482" w:firstLineChars="200"/>
        <w:jc w:val="left"/>
        <w:textAlignment w:val="auto"/>
        <w:rPr>
          <w:rFonts w:hint="default" w:ascii="宋体" w:hAnsi="宋体" w:eastAsia="宋体"/>
          <w:kern w:val="0"/>
          <w:sz w:val="24"/>
          <w:szCs w:val="24"/>
          <w:lang w:val="en-US" w:eastAsia="zh-CN"/>
        </w:rPr>
      </w:pPr>
      <w:r>
        <w:rPr>
          <w:rFonts w:hint="eastAsia" w:ascii="宋体" w:hAnsi="宋体" w:eastAsia="宋体"/>
          <w:b/>
          <w:bCs/>
          <w:kern w:val="0"/>
          <w:sz w:val="24"/>
          <w:szCs w:val="24"/>
          <w:lang w:val="en-US" w:eastAsia="zh-CN"/>
        </w:rPr>
        <w:t>三是与校友共建实践基地。</w:t>
      </w:r>
      <w:r>
        <w:rPr>
          <w:rFonts w:hint="eastAsia" w:ascii="宋体" w:hAnsi="宋体" w:eastAsia="宋体"/>
          <w:kern w:val="0"/>
          <w:sz w:val="24"/>
          <w:szCs w:val="24"/>
          <w:lang w:val="en-US" w:eastAsia="zh-CN"/>
        </w:rPr>
        <w:t>目前，校友捐建成立“校友跨境电子商务产业研究院”，实现学生在校完成跨境电子商务真实数据采集、大数据化分析以及可视化分析。还原企业操作场景，让理论与实践无缝隙衔接。同时，每年每年派出1名老师前往校友企业交流，以获得企业发展前沿信息。</w:t>
      </w:r>
    </w:p>
    <w:p w14:paraId="16D183D5">
      <w:pPr>
        <w:keepNext w:val="0"/>
        <w:keepLines w:val="0"/>
        <w:pageBreakBefore w:val="0"/>
        <w:kinsoku/>
        <w:wordWrap/>
        <w:overflowPunct/>
        <w:topLinePunct w:val="0"/>
        <w:autoSpaceDN/>
        <w:bidi w:val="0"/>
        <w:adjustRightInd/>
        <w:snapToGrid/>
        <w:spacing w:line="500" w:lineRule="exact"/>
        <w:ind w:firstLine="562" w:firstLineChars="200"/>
        <w:textAlignment w:val="auto"/>
        <w:rPr>
          <w:rFonts w:hint="eastAsia" w:ascii="黑体" w:hAnsi="黑体" w:eastAsia="黑体" w:cs="黑体"/>
          <w:b/>
          <w:bCs/>
          <w:kern w:val="0"/>
          <w:sz w:val="28"/>
          <w:szCs w:val="28"/>
        </w:rPr>
      </w:pPr>
      <w:r>
        <w:rPr>
          <w:rFonts w:hint="eastAsia" w:ascii="黑体" w:hAnsi="黑体" w:eastAsia="黑体" w:cs="黑体"/>
          <w:b/>
          <w:bCs/>
          <w:kern w:val="0"/>
          <w:sz w:val="28"/>
          <w:szCs w:val="28"/>
        </w:rPr>
        <w:t>六、思政育人</w:t>
      </w:r>
    </w:p>
    <w:p w14:paraId="2852A63B">
      <w:pPr>
        <w:keepNext w:val="0"/>
        <w:keepLines w:val="0"/>
        <w:pageBreakBefore w:val="0"/>
        <w:kinsoku/>
        <w:wordWrap/>
        <w:overflowPunct/>
        <w:topLinePunct w:val="0"/>
        <w:autoSpaceDN/>
        <w:bidi w:val="0"/>
        <w:adjustRightInd/>
        <w:snapToGrid/>
        <w:spacing w:line="500" w:lineRule="exact"/>
        <w:ind w:firstLine="482" w:firstLineChars="200"/>
        <w:textAlignment w:val="auto"/>
        <w:rPr>
          <w:rFonts w:hint="eastAsia" w:ascii="宋体" w:hAnsi="宋体" w:eastAsia="宋体"/>
          <w:color w:val="auto"/>
          <w:kern w:val="0"/>
          <w:sz w:val="24"/>
          <w:szCs w:val="24"/>
          <w:lang w:val="en-US" w:eastAsia="zh-CN"/>
        </w:rPr>
      </w:pPr>
      <w:r>
        <w:rPr>
          <w:rFonts w:hint="eastAsia" w:ascii="宋体" w:hAnsi="宋体" w:eastAsia="宋体"/>
          <w:b/>
          <w:bCs/>
          <w:kern w:val="0"/>
          <w:sz w:val="24"/>
          <w:szCs w:val="24"/>
          <w:lang w:val="en-US" w:eastAsia="zh-CN"/>
        </w:rPr>
        <w:t>1.坚持“润物细无声”的理念，形成“教、学、行”一体化的特色育人体系。</w:t>
      </w:r>
      <w:r>
        <w:rPr>
          <w:rFonts w:hint="eastAsia" w:ascii="宋体" w:hAnsi="宋体" w:eastAsia="宋体"/>
          <w:kern w:val="0"/>
          <w:sz w:val="24"/>
          <w:szCs w:val="24"/>
          <w:lang w:val="en-US" w:eastAsia="zh-CN"/>
        </w:rPr>
        <w:t>学院坚持以习近平新时代中国特色社会主义思想为指导，把政治思想工作贯穿人才培养全过程，让思政元素全方位浸润于教学、科研以及第二课堂。坚持党建引领，带动团建，发挥党员教师与党员学生“盛德”力量，让更多的学生融入到党的伟大建设中来。</w:t>
      </w:r>
      <w:r>
        <w:rPr>
          <w:rFonts w:hint="eastAsia" w:ascii="宋体" w:hAnsi="宋体" w:eastAsia="宋体"/>
          <w:color w:val="auto"/>
          <w:kern w:val="0"/>
          <w:sz w:val="24"/>
          <w:szCs w:val="24"/>
          <w:lang w:val="en-US" w:eastAsia="zh-CN"/>
        </w:rPr>
        <w:t>二是是教学为中心，建立符合经济与管理专业特色的课程。从课堂教学、实践教学、第二课堂到网络教学全方位展示“精技”的育人理念。</w:t>
      </w:r>
      <w:r>
        <w:rPr>
          <w:rFonts w:hint="eastAsia" w:ascii="宋体" w:hAnsi="宋体" w:eastAsia="宋体"/>
          <w:b/>
          <w:bCs/>
          <w:color w:val="auto"/>
          <w:kern w:val="0"/>
          <w:sz w:val="24"/>
          <w:szCs w:val="24"/>
          <w:lang w:val="en-US" w:eastAsia="zh-CN"/>
        </w:rPr>
        <w:t>三是着重思想实践。</w:t>
      </w:r>
      <w:r>
        <w:rPr>
          <w:rFonts w:hint="eastAsia" w:ascii="宋体" w:hAnsi="宋体" w:eastAsia="宋体"/>
          <w:color w:val="auto"/>
          <w:kern w:val="0"/>
          <w:sz w:val="24"/>
          <w:szCs w:val="24"/>
          <w:lang w:val="en-US" w:eastAsia="zh-CN"/>
        </w:rPr>
        <w:t>开展“心心点灯”、“一帮一”“体育强健”“一帧精彩”“乡村帮扶”系列活动，让学生德智体美劳得以升华；并积极与地方企业开展产教融合，实现学生实践的在地化，积极服务地方经济建设发展。</w:t>
      </w:r>
    </w:p>
    <w:p w14:paraId="185B0A09">
      <w:pPr>
        <w:keepNext w:val="0"/>
        <w:keepLines w:val="0"/>
        <w:pageBreakBefore w:val="0"/>
        <w:kinsoku/>
        <w:wordWrap/>
        <w:overflowPunct/>
        <w:topLinePunct w:val="0"/>
        <w:autoSpaceDN/>
        <w:bidi w:val="0"/>
        <w:adjustRightInd/>
        <w:snapToGrid/>
        <w:spacing w:line="500" w:lineRule="exact"/>
        <w:ind w:firstLine="482" w:firstLineChars="200"/>
        <w:textAlignment w:val="auto"/>
        <w:rPr>
          <w:rFonts w:hint="eastAsia" w:ascii="宋体" w:hAnsi="宋体" w:eastAsia="宋体"/>
          <w:kern w:val="0"/>
          <w:sz w:val="24"/>
          <w:szCs w:val="24"/>
        </w:rPr>
      </w:pPr>
      <w:r>
        <w:rPr>
          <w:rFonts w:hint="eastAsia" w:ascii="宋体" w:hAnsi="宋体" w:eastAsia="宋体"/>
          <w:b/>
          <w:bCs/>
          <w:color w:val="auto"/>
          <w:kern w:val="0"/>
          <w:sz w:val="24"/>
          <w:szCs w:val="24"/>
          <w:lang w:val="en-US" w:eastAsia="zh-CN"/>
        </w:rPr>
        <w:t>2.教师以身示范，谋划思政元素</w:t>
      </w:r>
      <w:r>
        <w:rPr>
          <w:rFonts w:hint="eastAsia" w:ascii="宋体" w:hAnsi="宋体" w:eastAsia="宋体"/>
          <w:color w:val="auto"/>
          <w:kern w:val="0"/>
          <w:sz w:val="24"/>
          <w:szCs w:val="24"/>
          <w:lang w:val="en-US" w:eastAsia="zh-CN"/>
        </w:rPr>
        <w:t>。</w:t>
      </w:r>
      <w:r>
        <w:rPr>
          <w:rFonts w:hint="eastAsia" w:ascii="宋体" w:hAnsi="宋体" w:eastAsia="宋体"/>
          <w:kern w:val="0"/>
          <w:sz w:val="24"/>
          <w:szCs w:val="24"/>
        </w:rPr>
        <w:t>李恒春、杨琴、范思媛老师撰写的课程思政案例入围邵阳学院出版的《思政案例选集》。范思媛老师获得湖南省课程思政教学比赛一等奖</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2022年</w:t>
      </w:r>
      <w:r>
        <w:rPr>
          <w:rFonts w:hint="eastAsia" w:ascii="宋体" w:hAnsi="宋体" w:eastAsia="宋体"/>
          <w:kern w:val="0"/>
          <w:sz w:val="24"/>
          <w:szCs w:val="24"/>
          <w:lang w:eastAsia="zh-CN"/>
        </w:rPr>
        <w:t>）</w:t>
      </w:r>
      <w:r>
        <w:rPr>
          <w:rFonts w:hint="eastAsia" w:ascii="宋体" w:hAnsi="宋体" w:eastAsia="宋体"/>
          <w:kern w:val="0"/>
          <w:sz w:val="24"/>
          <w:szCs w:val="24"/>
        </w:rPr>
        <w:t>；李恒春老师在湖南省教学创新比</w:t>
      </w:r>
      <w:r>
        <w:rPr>
          <w:rFonts w:hint="eastAsia" w:ascii="宋体" w:hAnsi="宋体" w:eastAsia="宋体"/>
          <w:kern w:val="0"/>
          <w:sz w:val="24"/>
          <w:szCs w:val="24"/>
          <w:lang w:val="en-US" w:eastAsia="zh-CN"/>
        </w:rPr>
        <w:t>和</w:t>
      </w:r>
      <w:r>
        <w:rPr>
          <w:rFonts w:hint="eastAsia" w:ascii="宋体" w:hAnsi="宋体" w:eastAsia="宋体"/>
          <w:kern w:val="0"/>
          <w:sz w:val="24"/>
          <w:szCs w:val="24"/>
        </w:rPr>
        <w:t>赛课程思政比赛</w:t>
      </w:r>
      <w:r>
        <w:rPr>
          <w:rFonts w:hint="eastAsia" w:ascii="宋体" w:hAnsi="宋体" w:eastAsia="宋体"/>
          <w:kern w:val="0"/>
          <w:sz w:val="24"/>
          <w:szCs w:val="24"/>
          <w:lang w:val="en-US" w:eastAsia="zh-CN"/>
        </w:rPr>
        <w:t>分</w:t>
      </w:r>
      <w:r>
        <w:rPr>
          <w:rFonts w:hint="eastAsia" w:ascii="宋体" w:hAnsi="宋体" w:eastAsia="宋体"/>
          <w:kern w:val="0"/>
          <w:sz w:val="24"/>
          <w:szCs w:val="24"/>
        </w:rPr>
        <w:t>获得二等奖</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2023年</w:t>
      </w:r>
      <w:r>
        <w:rPr>
          <w:rFonts w:hint="eastAsia" w:ascii="宋体" w:hAnsi="宋体" w:eastAsia="宋体"/>
          <w:kern w:val="0"/>
          <w:sz w:val="24"/>
          <w:szCs w:val="24"/>
          <w:lang w:eastAsia="zh-CN"/>
        </w:rPr>
        <w:t>）、</w:t>
      </w:r>
      <w:r>
        <w:rPr>
          <w:rFonts w:hint="eastAsia" w:ascii="宋体" w:hAnsi="宋体" w:eastAsia="宋体"/>
          <w:kern w:val="0"/>
          <w:sz w:val="24"/>
          <w:szCs w:val="24"/>
        </w:rPr>
        <w:t>二等奖</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2024年</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三等奖（2022年）</w:t>
      </w:r>
      <w:r>
        <w:rPr>
          <w:rFonts w:hint="eastAsia" w:ascii="宋体" w:hAnsi="宋体" w:eastAsia="宋体"/>
          <w:kern w:val="0"/>
          <w:sz w:val="24"/>
          <w:szCs w:val="24"/>
        </w:rPr>
        <w:t>。</w:t>
      </w:r>
    </w:p>
    <w:p w14:paraId="040D685C">
      <w:pPr>
        <w:keepNext w:val="0"/>
        <w:keepLines w:val="0"/>
        <w:pageBreakBefore w:val="0"/>
        <w:kinsoku/>
        <w:wordWrap/>
        <w:overflowPunct/>
        <w:topLinePunct w:val="0"/>
        <w:autoSpaceDN/>
        <w:bidi w:val="0"/>
        <w:adjustRightInd/>
        <w:snapToGrid/>
        <w:spacing w:line="500" w:lineRule="exact"/>
        <w:ind w:firstLine="562" w:firstLineChars="200"/>
        <w:textAlignment w:val="auto"/>
        <w:rPr>
          <w:rFonts w:hint="eastAsia" w:ascii="黑体" w:hAnsi="黑体" w:eastAsia="黑体" w:cs="黑体"/>
          <w:b/>
          <w:bCs/>
          <w:kern w:val="0"/>
          <w:sz w:val="28"/>
          <w:szCs w:val="28"/>
        </w:rPr>
      </w:pPr>
      <w:r>
        <w:rPr>
          <w:rFonts w:hint="eastAsia" w:ascii="黑体" w:hAnsi="黑体" w:eastAsia="黑体" w:cs="黑体"/>
          <w:b/>
          <w:bCs/>
          <w:kern w:val="0"/>
          <w:sz w:val="28"/>
          <w:szCs w:val="28"/>
        </w:rPr>
        <w:t>七、国际交流</w:t>
      </w:r>
    </w:p>
    <w:p w14:paraId="13344E35">
      <w:pPr>
        <w:keepNext w:val="0"/>
        <w:keepLines w:val="0"/>
        <w:pageBreakBefore w:val="0"/>
        <w:widowControl w:val="0"/>
        <w:kinsoku/>
        <w:wordWrap/>
        <w:overflowPunct/>
        <w:topLinePunct w:val="0"/>
        <w:autoSpaceDE/>
        <w:autoSpaceDN/>
        <w:bidi w:val="0"/>
        <w:adjustRightInd/>
        <w:snapToGrid/>
        <w:spacing w:line="500" w:lineRule="exact"/>
        <w:ind w:firstLine="495"/>
        <w:textAlignment w:val="auto"/>
        <w:rPr>
          <w:rFonts w:hint="eastAsia" w:ascii="宋体" w:hAnsi="宋体" w:eastAsia="宋体"/>
          <w:kern w:val="0"/>
          <w:sz w:val="24"/>
          <w:szCs w:val="24"/>
        </w:rPr>
      </w:pPr>
      <w:r>
        <w:rPr>
          <w:rFonts w:hint="eastAsia" w:ascii="宋体" w:hAnsi="宋体" w:eastAsia="宋体"/>
          <w:b/>
          <w:bCs/>
          <w:kern w:val="0"/>
          <w:sz w:val="24"/>
          <w:szCs w:val="24"/>
          <w:lang w:val="en-US" w:eastAsia="zh-CN"/>
        </w:rPr>
        <w:t>一是教师去访学交流</w:t>
      </w:r>
      <w:r>
        <w:rPr>
          <w:rFonts w:hint="eastAsia" w:ascii="宋体" w:hAnsi="宋体" w:eastAsia="宋体"/>
          <w:kern w:val="0"/>
          <w:sz w:val="24"/>
          <w:szCs w:val="24"/>
          <w:lang w:val="en-US" w:eastAsia="zh-CN"/>
        </w:rPr>
        <w:t>。</w:t>
      </w:r>
      <w:r>
        <w:rPr>
          <w:rFonts w:hint="eastAsia" w:ascii="宋体" w:hAnsi="宋体" w:eastAsia="宋体"/>
          <w:kern w:val="0"/>
          <w:sz w:val="24"/>
          <w:szCs w:val="24"/>
        </w:rPr>
        <w:t>洪必纲、冯灿飞、郭争艳、马骥</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郭建华5</w:t>
      </w:r>
      <w:r>
        <w:rPr>
          <w:rFonts w:hint="eastAsia" w:ascii="宋体" w:hAnsi="宋体" w:eastAsia="宋体"/>
          <w:kern w:val="0"/>
          <w:sz w:val="24"/>
          <w:szCs w:val="24"/>
        </w:rPr>
        <w:t>位老师分别去美国、澳大利亚</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新西兰</w:t>
      </w:r>
      <w:r>
        <w:rPr>
          <w:rFonts w:hint="eastAsia" w:ascii="宋体" w:hAnsi="宋体" w:eastAsia="宋体"/>
          <w:kern w:val="0"/>
          <w:sz w:val="24"/>
          <w:szCs w:val="24"/>
        </w:rPr>
        <w:t>等国家去访学交流。</w:t>
      </w:r>
      <w:r>
        <w:rPr>
          <w:rFonts w:hint="eastAsia" w:ascii="宋体" w:hAnsi="宋体" w:eastAsia="宋体"/>
          <w:b/>
          <w:bCs/>
          <w:kern w:val="0"/>
          <w:sz w:val="24"/>
          <w:szCs w:val="24"/>
          <w:lang w:val="en-US" w:eastAsia="zh-CN"/>
        </w:rPr>
        <w:t>二是招生留学生</w:t>
      </w:r>
      <w:r>
        <w:rPr>
          <w:rFonts w:hint="eastAsia" w:ascii="宋体" w:hAnsi="宋体" w:eastAsia="宋体"/>
          <w:kern w:val="0"/>
          <w:sz w:val="24"/>
          <w:szCs w:val="24"/>
          <w:lang w:val="en-US" w:eastAsia="zh-CN"/>
        </w:rPr>
        <w:t>。</w:t>
      </w:r>
      <w:r>
        <w:rPr>
          <w:rFonts w:hint="eastAsia" w:ascii="宋体" w:hAnsi="宋体" w:eastAsia="宋体"/>
          <w:kern w:val="0"/>
          <w:sz w:val="24"/>
          <w:szCs w:val="24"/>
        </w:rPr>
        <w:t>国际经济与贸易、旅游管理专业2019年开始招收有学历的国际留学生。</w:t>
      </w:r>
    </w:p>
    <w:p w14:paraId="4FB5080F">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黑体" w:hAnsi="黑体" w:eastAsia="黑体" w:cs="黑体"/>
          <w:b/>
          <w:bCs/>
          <w:kern w:val="0"/>
          <w:sz w:val="28"/>
          <w:szCs w:val="28"/>
        </w:rPr>
      </w:pPr>
      <w:r>
        <w:rPr>
          <w:rFonts w:hint="eastAsia" w:ascii="黑体" w:hAnsi="黑体" w:eastAsia="黑体" w:cs="黑体"/>
          <w:b/>
          <w:bCs/>
          <w:kern w:val="0"/>
          <w:sz w:val="28"/>
          <w:szCs w:val="28"/>
        </w:rPr>
        <w:t>八、育人成效</w:t>
      </w:r>
    </w:p>
    <w:p w14:paraId="30D2E0C3">
      <w:pPr>
        <w:keepNext w:val="0"/>
        <w:keepLines w:val="0"/>
        <w:pageBreakBefore w:val="0"/>
        <w:widowControl w:val="0"/>
        <w:kinsoku/>
        <w:wordWrap/>
        <w:overflowPunct/>
        <w:topLinePunct w:val="0"/>
        <w:autoSpaceDE/>
        <w:autoSpaceDN/>
        <w:bidi w:val="0"/>
        <w:adjustRightInd/>
        <w:snapToGrid/>
        <w:spacing w:line="500" w:lineRule="exact"/>
        <w:ind w:firstLine="495"/>
        <w:textAlignment w:val="auto"/>
        <w:rPr>
          <w:rFonts w:hint="eastAsia" w:ascii="宋体" w:hAnsi="宋体" w:eastAsia="宋体"/>
          <w:kern w:val="0"/>
          <w:sz w:val="24"/>
          <w:szCs w:val="24"/>
          <w:lang w:eastAsia="zh-CN"/>
        </w:rPr>
      </w:pPr>
      <w:r>
        <w:rPr>
          <w:rFonts w:hint="eastAsia" w:ascii="宋体" w:hAnsi="宋体" w:eastAsia="宋体"/>
          <w:b/>
          <w:bCs/>
          <w:kern w:val="0"/>
          <w:sz w:val="24"/>
          <w:szCs w:val="24"/>
        </w:rPr>
        <w:t>1.专业社会影响力持续扩大</w:t>
      </w:r>
      <w:r>
        <w:rPr>
          <w:rFonts w:hint="eastAsia" w:ascii="宋体" w:hAnsi="宋体" w:eastAsia="宋体"/>
          <w:b/>
          <w:bCs/>
          <w:kern w:val="0"/>
          <w:sz w:val="24"/>
          <w:szCs w:val="24"/>
          <w:lang w:eastAsia="zh-CN"/>
        </w:rPr>
        <w:t>。</w:t>
      </w:r>
      <w:r>
        <w:rPr>
          <w:rFonts w:hint="eastAsia" w:ascii="宋体" w:hAnsi="宋体" w:eastAsia="宋体"/>
          <w:kern w:val="0"/>
          <w:sz w:val="24"/>
          <w:szCs w:val="24"/>
        </w:rPr>
        <w:t>管理科学致力培养质量管理、人力资源、市场营销三个方面的人才培养，中核集团、中核五局等国企每年都会向专业定时接受一批毕业生；国际经济与贸易专业特色明显，长期坚持助力邵阳轻工业产品“出海”计划实现，参与邵阳市发制品、箱包等产业产品“出海”计划</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筹建跨境电子商务产业学院</w:t>
      </w:r>
      <w:r>
        <w:rPr>
          <w:rFonts w:hint="eastAsia" w:ascii="宋体" w:hAnsi="宋体" w:eastAsia="宋体"/>
          <w:kern w:val="0"/>
          <w:sz w:val="24"/>
          <w:szCs w:val="24"/>
        </w:rPr>
        <w:t>；金融工程专业在银行与证券行业颇有影响力；</w:t>
      </w:r>
      <w:r>
        <w:rPr>
          <w:rFonts w:hint="eastAsia" w:ascii="宋体" w:hAnsi="宋体" w:eastAsia="宋体"/>
          <w:kern w:val="0"/>
          <w:sz w:val="24"/>
          <w:szCs w:val="24"/>
          <w:lang w:val="en-US" w:eastAsia="zh-CN"/>
        </w:rPr>
        <w:t>旅游管理</w:t>
      </w:r>
      <w:r>
        <w:rPr>
          <w:rFonts w:hint="eastAsia" w:ascii="宋体" w:hAnsi="宋体" w:eastAsia="宋体"/>
          <w:kern w:val="0"/>
          <w:sz w:val="24"/>
          <w:szCs w:val="24"/>
        </w:rPr>
        <w:t>专业与世界自然遗产地崀山、邵阳市博物馆</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蔡锷故居</w:t>
      </w:r>
      <w:r>
        <w:rPr>
          <w:rFonts w:hint="eastAsia" w:ascii="宋体" w:hAnsi="宋体" w:eastAsia="宋体"/>
          <w:kern w:val="0"/>
          <w:sz w:val="24"/>
          <w:szCs w:val="24"/>
        </w:rPr>
        <w:t>合作，并与世界自然遗产地联合承办第十一届湖南省大学生旅游专业综合技能大赛。</w:t>
      </w:r>
    </w:p>
    <w:p w14:paraId="730DE2D8">
      <w:pPr>
        <w:keepNext w:val="0"/>
        <w:keepLines w:val="0"/>
        <w:pageBreakBefore w:val="0"/>
        <w:widowControl w:val="0"/>
        <w:kinsoku/>
        <w:wordWrap/>
        <w:overflowPunct/>
        <w:topLinePunct w:val="0"/>
        <w:autoSpaceDE/>
        <w:autoSpaceDN/>
        <w:bidi w:val="0"/>
        <w:adjustRightInd/>
        <w:snapToGrid/>
        <w:spacing w:line="500" w:lineRule="exact"/>
        <w:ind w:firstLine="495"/>
        <w:textAlignment w:val="auto"/>
        <w:rPr>
          <w:rFonts w:ascii="宋体" w:hAnsi="宋体" w:eastAsia="宋体"/>
          <w:kern w:val="0"/>
          <w:sz w:val="24"/>
          <w:szCs w:val="24"/>
        </w:rPr>
      </w:pPr>
      <w:r>
        <w:rPr>
          <w:rFonts w:hint="eastAsia" w:ascii="宋体" w:hAnsi="宋体" w:eastAsia="宋体"/>
          <w:b/>
          <w:bCs/>
          <w:kern w:val="0"/>
          <w:sz w:val="24"/>
          <w:szCs w:val="24"/>
        </w:rPr>
        <w:t>2.学科专业建设有效推进</w:t>
      </w:r>
      <w:r>
        <w:rPr>
          <w:rFonts w:hint="eastAsia" w:ascii="宋体" w:hAnsi="宋体" w:eastAsia="宋体"/>
          <w:b/>
          <w:bCs/>
          <w:kern w:val="0"/>
          <w:sz w:val="24"/>
          <w:szCs w:val="24"/>
          <w:lang w:eastAsia="zh-CN"/>
        </w:rPr>
        <w:t>。</w:t>
      </w:r>
      <w:r>
        <w:rPr>
          <w:rFonts w:hint="eastAsia" w:ascii="宋体" w:hAnsi="宋体" w:eastAsia="宋体"/>
          <w:kern w:val="0"/>
          <w:sz w:val="24"/>
          <w:szCs w:val="24"/>
        </w:rPr>
        <w:t>通过省级一流专业的建设，以及服务地方经济过程时将科研反哺教学、带动教学，有效促进了新商科应用型人才的培养。同时，将“数字”元素融入到学科建设里，有效促进数字型人才的培养。</w:t>
      </w:r>
    </w:p>
    <w:p w14:paraId="4E3A53AB">
      <w:pPr>
        <w:keepNext w:val="0"/>
        <w:keepLines w:val="0"/>
        <w:pageBreakBefore w:val="0"/>
        <w:widowControl w:val="0"/>
        <w:kinsoku/>
        <w:wordWrap/>
        <w:overflowPunct/>
        <w:topLinePunct w:val="0"/>
        <w:autoSpaceDE/>
        <w:autoSpaceDN/>
        <w:bidi w:val="0"/>
        <w:adjustRightInd/>
        <w:snapToGrid/>
        <w:spacing w:line="500" w:lineRule="exact"/>
        <w:ind w:firstLine="495"/>
        <w:textAlignment w:val="auto"/>
        <w:rPr>
          <w:rFonts w:ascii="宋体" w:hAnsi="宋体" w:eastAsia="宋体"/>
          <w:kern w:val="0"/>
          <w:sz w:val="24"/>
          <w:szCs w:val="24"/>
        </w:rPr>
      </w:pPr>
      <w:r>
        <w:rPr>
          <w:rFonts w:hint="eastAsia" w:ascii="宋体" w:hAnsi="宋体" w:eastAsia="宋体"/>
          <w:b/>
          <w:bCs/>
          <w:kern w:val="0"/>
          <w:sz w:val="24"/>
          <w:szCs w:val="24"/>
        </w:rPr>
        <w:t>3.学生实践能力显著提升</w:t>
      </w:r>
      <w:r>
        <w:rPr>
          <w:rFonts w:hint="eastAsia" w:ascii="宋体" w:hAnsi="宋体" w:eastAsia="宋体"/>
          <w:b/>
          <w:bCs/>
          <w:kern w:val="0"/>
          <w:sz w:val="24"/>
          <w:szCs w:val="24"/>
          <w:lang w:eastAsia="zh-CN"/>
        </w:rPr>
        <w:t>。</w:t>
      </w:r>
      <w:r>
        <w:rPr>
          <w:rFonts w:hint="eastAsia" w:ascii="宋体" w:hAnsi="宋体" w:eastAsia="宋体"/>
          <w:kern w:val="0"/>
          <w:sz w:val="24"/>
          <w:szCs w:val="24"/>
        </w:rPr>
        <w:t>学生通过专业认识实习、毕业实习、企业导师入校园等系列实践教学环节，走完了专业从理论教学到实践落地的全过程。</w:t>
      </w:r>
    </w:p>
    <w:p w14:paraId="5FA7DD2F">
      <w:pPr>
        <w:keepNext w:val="0"/>
        <w:keepLines w:val="0"/>
        <w:pageBreakBefore w:val="0"/>
        <w:widowControl w:val="0"/>
        <w:kinsoku/>
        <w:wordWrap/>
        <w:overflowPunct/>
        <w:topLinePunct w:val="0"/>
        <w:autoSpaceDE/>
        <w:autoSpaceDN/>
        <w:bidi w:val="0"/>
        <w:adjustRightInd/>
        <w:snapToGrid/>
        <w:spacing w:line="500" w:lineRule="exact"/>
        <w:ind w:firstLine="495"/>
        <w:textAlignment w:val="auto"/>
        <w:rPr>
          <w:rFonts w:hint="eastAsia" w:ascii="宋体" w:hAnsi="宋体" w:eastAsia="宋体"/>
          <w:kern w:val="0"/>
          <w:sz w:val="24"/>
          <w:szCs w:val="24"/>
        </w:rPr>
      </w:pPr>
      <w:r>
        <w:rPr>
          <w:rFonts w:hint="eastAsia" w:ascii="宋体" w:hAnsi="宋体" w:eastAsia="宋体"/>
          <w:b/>
          <w:bCs/>
          <w:kern w:val="0"/>
          <w:sz w:val="24"/>
          <w:szCs w:val="24"/>
        </w:rPr>
        <w:t>4.已毕业学生服务社会影响力较大</w:t>
      </w:r>
      <w:r>
        <w:rPr>
          <w:rFonts w:hint="eastAsia" w:ascii="宋体" w:hAnsi="宋体" w:eastAsia="宋体"/>
          <w:b/>
          <w:bCs/>
          <w:kern w:val="0"/>
          <w:sz w:val="24"/>
          <w:szCs w:val="24"/>
          <w:lang w:eastAsia="zh-CN"/>
        </w:rPr>
        <w:t>。</w:t>
      </w:r>
      <w:r>
        <w:rPr>
          <w:rFonts w:hint="eastAsia" w:ascii="宋体" w:hAnsi="宋体" w:eastAsia="宋体"/>
          <w:kern w:val="0"/>
          <w:sz w:val="24"/>
          <w:szCs w:val="24"/>
        </w:rPr>
        <w:t>已毕业学生坚持“</w:t>
      </w:r>
      <w:r>
        <w:rPr>
          <w:rFonts w:hint="eastAsia" w:ascii="宋体" w:hAnsi="宋体" w:eastAsia="宋体"/>
          <w:kern w:val="0"/>
          <w:sz w:val="24"/>
          <w:szCs w:val="24"/>
          <w:lang w:val="en-US" w:eastAsia="zh-CN"/>
        </w:rPr>
        <w:t>盛德精技</w:t>
      </w:r>
      <w:r>
        <w:rPr>
          <w:rFonts w:hint="eastAsia" w:ascii="宋体" w:hAnsi="宋体" w:eastAsia="宋体"/>
          <w:kern w:val="0"/>
          <w:sz w:val="24"/>
          <w:szCs w:val="24"/>
        </w:rPr>
        <w:t>，</w:t>
      </w:r>
      <w:r>
        <w:rPr>
          <w:rFonts w:hint="eastAsia" w:ascii="宋体" w:hAnsi="宋体" w:eastAsia="宋体"/>
          <w:kern w:val="0"/>
          <w:sz w:val="24"/>
          <w:szCs w:val="24"/>
          <w:lang w:val="en-US" w:eastAsia="zh-CN"/>
        </w:rPr>
        <w:t>经世日新</w:t>
      </w:r>
      <w:r>
        <w:rPr>
          <w:rFonts w:hint="eastAsia" w:ascii="宋体" w:hAnsi="宋体" w:eastAsia="宋体"/>
          <w:kern w:val="0"/>
          <w:sz w:val="24"/>
          <w:szCs w:val="24"/>
        </w:rPr>
        <w:t>”，将自己的青春服务于祖国各地，如2017届国际经济与贸易专业张白鼎放弃40万年薪回家乡创业被中央电视台报道；</w:t>
      </w:r>
      <w:r>
        <w:rPr>
          <w:rFonts w:hint="eastAsia" w:ascii="宋体" w:hAnsi="宋体" w:eastAsia="宋体"/>
          <w:kern w:val="0"/>
          <w:sz w:val="24"/>
          <w:szCs w:val="24"/>
          <w:lang w:val="en-US" w:eastAsia="zh-CN"/>
        </w:rPr>
        <w:t>2020届旅游管理专业贺中鼎为习近平主席在湖南长沙市考察调研作讲解；</w:t>
      </w:r>
      <w:r>
        <w:rPr>
          <w:rFonts w:hint="eastAsia" w:ascii="宋体" w:hAnsi="宋体" w:eastAsia="宋体"/>
          <w:kern w:val="0"/>
          <w:sz w:val="24"/>
          <w:szCs w:val="24"/>
        </w:rPr>
        <w:t>2021届旅游管理专业胡雪年放弃优渥的工作志愿参加西部建设等。</w:t>
      </w:r>
    </w:p>
    <w:p w14:paraId="1F75B854">
      <w:pPr>
        <w:keepNext w:val="0"/>
        <w:keepLines w:val="0"/>
        <w:pageBreakBefore w:val="0"/>
        <w:widowControl w:val="0"/>
        <w:kinsoku/>
        <w:wordWrap/>
        <w:overflowPunct/>
        <w:topLinePunct w:val="0"/>
        <w:autoSpaceDE/>
        <w:autoSpaceDN/>
        <w:bidi w:val="0"/>
        <w:adjustRightInd/>
        <w:snapToGrid/>
        <w:spacing w:line="500" w:lineRule="exact"/>
        <w:ind w:firstLine="495"/>
        <w:textAlignment w:val="auto"/>
        <w:rPr>
          <w:rFonts w:hint="eastAsia" w:ascii="宋体" w:hAnsi="宋体" w:eastAsia="宋体"/>
          <w:kern w:val="0"/>
          <w:sz w:val="24"/>
          <w:szCs w:val="24"/>
        </w:rPr>
      </w:pPr>
    </w:p>
    <w:p w14:paraId="5B3D18DD">
      <w:pPr>
        <w:keepNext w:val="0"/>
        <w:keepLines w:val="0"/>
        <w:pageBreakBefore w:val="0"/>
        <w:widowControl w:val="0"/>
        <w:kinsoku/>
        <w:wordWrap/>
        <w:overflowPunct/>
        <w:topLinePunct w:val="0"/>
        <w:autoSpaceDE/>
        <w:autoSpaceDN/>
        <w:bidi w:val="0"/>
        <w:adjustRightInd/>
        <w:snapToGrid/>
        <w:spacing w:line="500" w:lineRule="exact"/>
        <w:ind w:firstLine="493"/>
        <w:textAlignment w:val="auto"/>
        <w:rPr>
          <w:rFonts w:hint="eastAsia" w:ascii="宋体" w:hAnsi="宋体" w:eastAsia="宋体"/>
          <w:kern w:val="0"/>
          <w:sz w:val="24"/>
          <w:szCs w:val="24"/>
        </w:rPr>
      </w:pPr>
      <w:r>
        <w:rPr>
          <w:rFonts w:hint="eastAsia" w:ascii="宋体" w:hAnsi="宋体" w:eastAsia="宋体"/>
          <w:kern w:val="0"/>
          <w:sz w:val="24"/>
          <w:szCs w:val="24"/>
          <w:lang w:eastAsia="zh-CN"/>
        </w:rPr>
        <w:drawing>
          <wp:anchor distT="0" distB="0" distL="114300" distR="114300" simplePos="0" relativeHeight="251661312" behindDoc="0" locked="0" layoutInCell="1" allowOverlap="1">
            <wp:simplePos x="0" y="0"/>
            <wp:positionH relativeFrom="column">
              <wp:posOffset>66675</wp:posOffset>
            </wp:positionH>
            <wp:positionV relativeFrom="paragraph">
              <wp:posOffset>125730</wp:posOffset>
            </wp:positionV>
            <wp:extent cx="4811395" cy="2905760"/>
            <wp:effectExtent l="0" t="0" r="8255" b="8890"/>
            <wp:wrapSquare wrapText="bothSides"/>
            <wp:docPr id="1" name="图片 1" descr="171679515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6795151195"/>
                    <pic:cNvPicPr>
                      <a:picLocks noChangeAspect="1"/>
                    </pic:cNvPicPr>
                  </pic:nvPicPr>
                  <pic:blipFill>
                    <a:blip r:embed="rId5"/>
                    <a:stretch>
                      <a:fillRect/>
                    </a:stretch>
                  </pic:blipFill>
                  <pic:spPr>
                    <a:xfrm>
                      <a:off x="0" y="0"/>
                      <a:ext cx="4811395" cy="2905760"/>
                    </a:xfrm>
                    <a:prstGeom prst="rect">
                      <a:avLst/>
                    </a:prstGeom>
                  </pic:spPr>
                </pic:pic>
              </a:graphicData>
            </a:graphic>
          </wp:anchor>
        </w:drawing>
      </w:r>
    </w:p>
    <w:p w14:paraId="13FA6D48">
      <w:pPr>
        <w:keepNext w:val="0"/>
        <w:keepLines w:val="0"/>
        <w:pageBreakBefore w:val="0"/>
        <w:kinsoku/>
        <w:wordWrap/>
        <w:overflowPunct/>
        <w:topLinePunct w:val="0"/>
        <w:autoSpaceDN/>
        <w:bidi w:val="0"/>
        <w:adjustRightInd/>
        <w:snapToGrid/>
        <w:spacing w:line="500" w:lineRule="exact"/>
        <w:ind w:firstLine="495"/>
        <w:jc w:val="center"/>
        <w:textAlignment w:val="auto"/>
        <w:rPr>
          <w:rFonts w:hint="eastAsia" w:ascii="宋体" w:hAnsi="宋体" w:eastAsia="宋体"/>
          <w:kern w:val="0"/>
          <w:sz w:val="24"/>
          <w:szCs w:val="24"/>
          <w:lang w:eastAsia="zh-CN"/>
        </w:rPr>
      </w:pPr>
    </w:p>
    <w:p w14:paraId="79D1F7DA">
      <w:pPr>
        <w:keepNext w:val="0"/>
        <w:keepLines w:val="0"/>
        <w:pageBreakBefore w:val="0"/>
        <w:kinsoku/>
        <w:wordWrap/>
        <w:overflowPunct/>
        <w:topLinePunct w:val="0"/>
        <w:autoSpaceDN/>
        <w:bidi w:val="0"/>
        <w:adjustRightInd/>
        <w:snapToGrid/>
        <w:spacing w:line="500" w:lineRule="exact"/>
        <w:ind w:firstLine="495"/>
        <w:textAlignment w:val="auto"/>
        <w:rPr>
          <w:rFonts w:hint="eastAsia" w:ascii="宋体" w:hAnsi="宋体" w:eastAsia="宋体"/>
          <w:kern w:val="0"/>
          <w:sz w:val="24"/>
          <w:szCs w:val="24"/>
        </w:rPr>
      </w:pPr>
    </w:p>
    <w:p w14:paraId="7EA6E929">
      <w:pPr>
        <w:keepNext w:val="0"/>
        <w:keepLines w:val="0"/>
        <w:pageBreakBefore w:val="0"/>
        <w:kinsoku/>
        <w:wordWrap/>
        <w:overflowPunct/>
        <w:topLinePunct w:val="0"/>
        <w:autoSpaceDN/>
        <w:bidi w:val="0"/>
        <w:adjustRightInd/>
        <w:snapToGrid/>
        <w:spacing w:line="500" w:lineRule="exact"/>
        <w:ind w:firstLine="495"/>
        <w:textAlignment w:val="auto"/>
        <w:rPr>
          <w:rFonts w:hint="eastAsia" w:ascii="宋体" w:hAnsi="宋体" w:eastAsia="宋体"/>
          <w:kern w:val="0"/>
          <w:sz w:val="24"/>
          <w:szCs w:val="24"/>
        </w:rPr>
      </w:pPr>
    </w:p>
    <w:p w14:paraId="326D332B">
      <w:pPr>
        <w:keepNext w:val="0"/>
        <w:keepLines w:val="0"/>
        <w:pageBreakBefore w:val="0"/>
        <w:kinsoku/>
        <w:wordWrap/>
        <w:overflowPunct/>
        <w:topLinePunct w:val="0"/>
        <w:autoSpaceDN/>
        <w:bidi w:val="0"/>
        <w:adjustRightInd/>
        <w:snapToGrid/>
        <w:spacing w:line="500" w:lineRule="exact"/>
        <w:ind w:firstLine="495"/>
        <w:textAlignment w:val="auto"/>
        <w:rPr>
          <w:rFonts w:hint="eastAsia" w:ascii="宋体" w:hAnsi="宋体" w:eastAsia="宋体"/>
          <w:kern w:val="0"/>
          <w:sz w:val="24"/>
          <w:szCs w:val="24"/>
          <w:lang w:eastAsia="zh-CN"/>
        </w:rPr>
      </w:pPr>
    </w:p>
    <w:p w14:paraId="65B0DA43">
      <w:pPr>
        <w:keepNext w:val="0"/>
        <w:keepLines w:val="0"/>
        <w:pageBreakBefore w:val="0"/>
        <w:kinsoku/>
        <w:wordWrap/>
        <w:overflowPunct/>
        <w:topLinePunct w:val="0"/>
        <w:autoSpaceDN/>
        <w:bidi w:val="0"/>
        <w:adjustRightInd/>
        <w:snapToGrid/>
        <w:spacing w:line="500" w:lineRule="exact"/>
        <w:ind w:firstLine="495"/>
        <w:textAlignment w:val="auto"/>
        <w:rPr>
          <w:rFonts w:hint="eastAsia" w:ascii="宋体" w:hAnsi="宋体" w:eastAsia="宋体"/>
          <w:kern w:val="0"/>
          <w:sz w:val="24"/>
          <w:szCs w:val="24"/>
          <w:lang w:eastAsia="zh-CN"/>
        </w:rPr>
      </w:pPr>
    </w:p>
    <w:p w14:paraId="052E044E">
      <w:pPr>
        <w:keepNext w:val="0"/>
        <w:keepLines w:val="0"/>
        <w:pageBreakBefore w:val="0"/>
        <w:kinsoku/>
        <w:wordWrap/>
        <w:overflowPunct/>
        <w:topLinePunct w:val="0"/>
        <w:autoSpaceDN/>
        <w:bidi w:val="0"/>
        <w:adjustRightInd/>
        <w:snapToGrid/>
        <w:spacing w:line="500" w:lineRule="exact"/>
        <w:ind w:firstLine="495"/>
        <w:textAlignment w:val="auto"/>
        <w:rPr>
          <w:rFonts w:hint="eastAsia" w:ascii="宋体" w:hAnsi="宋体" w:eastAsia="宋体"/>
          <w:kern w:val="0"/>
          <w:sz w:val="24"/>
          <w:szCs w:val="24"/>
          <w:lang w:eastAsia="zh-CN"/>
        </w:rPr>
      </w:pPr>
    </w:p>
    <w:p w14:paraId="53435934">
      <w:pPr>
        <w:keepNext w:val="0"/>
        <w:keepLines w:val="0"/>
        <w:pageBreakBefore w:val="0"/>
        <w:kinsoku/>
        <w:wordWrap/>
        <w:overflowPunct/>
        <w:topLinePunct w:val="0"/>
        <w:autoSpaceDN/>
        <w:bidi w:val="0"/>
        <w:adjustRightInd/>
        <w:snapToGrid/>
        <w:spacing w:line="500" w:lineRule="exact"/>
        <w:ind w:firstLine="495"/>
        <w:textAlignment w:val="auto"/>
        <w:rPr>
          <w:rFonts w:hint="eastAsia" w:ascii="宋体" w:hAnsi="宋体" w:eastAsia="宋体"/>
          <w:kern w:val="0"/>
          <w:sz w:val="24"/>
          <w:szCs w:val="24"/>
          <w:lang w:eastAsia="zh-CN"/>
        </w:rPr>
      </w:pPr>
    </w:p>
    <w:p w14:paraId="16C8DAF1">
      <w:pPr>
        <w:keepNext w:val="0"/>
        <w:keepLines w:val="0"/>
        <w:pageBreakBefore w:val="0"/>
        <w:kinsoku/>
        <w:wordWrap/>
        <w:overflowPunct/>
        <w:topLinePunct w:val="0"/>
        <w:autoSpaceDN/>
        <w:bidi w:val="0"/>
        <w:adjustRightInd/>
        <w:snapToGrid/>
        <w:spacing w:line="500" w:lineRule="exact"/>
        <w:ind w:firstLine="495"/>
        <w:textAlignment w:val="auto"/>
        <w:rPr>
          <w:rFonts w:hint="eastAsia" w:ascii="宋体" w:hAnsi="宋体" w:eastAsia="宋体"/>
          <w:kern w:val="0"/>
          <w:sz w:val="24"/>
          <w:szCs w:val="24"/>
          <w:lang w:eastAsia="zh-CN"/>
        </w:rPr>
      </w:pPr>
    </w:p>
    <w:p w14:paraId="35F8670C">
      <w:pPr>
        <w:keepNext w:val="0"/>
        <w:keepLines w:val="0"/>
        <w:pageBreakBefore w:val="0"/>
        <w:kinsoku/>
        <w:wordWrap/>
        <w:overflowPunct/>
        <w:topLinePunct w:val="0"/>
        <w:autoSpaceDN/>
        <w:bidi w:val="0"/>
        <w:adjustRightInd/>
        <w:snapToGrid/>
        <w:spacing w:line="500" w:lineRule="exact"/>
        <w:textAlignment w:val="auto"/>
        <w:rPr>
          <w:rFonts w:hint="eastAsia" w:ascii="宋体" w:hAnsi="宋体" w:eastAsia="宋体"/>
          <w:kern w:val="0"/>
          <w:sz w:val="24"/>
          <w:szCs w:val="24"/>
          <w:lang w:eastAsia="zh-CN"/>
        </w:rPr>
      </w:pPr>
      <w:r>
        <w:drawing>
          <wp:anchor distT="0" distB="0" distL="114300" distR="114300" simplePos="0" relativeHeight="251662336" behindDoc="0" locked="0" layoutInCell="1" allowOverlap="1">
            <wp:simplePos x="0" y="0"/>
            <wp:positionH relativeFrom="column">
              <wp:posOffset>-5177155</wp:posOffset>
            </wp:positionH>
            <wp:positionV relativeFrom="paragraph">
              <wp:posOffset>516890</wp:posOffset>
            </wp:positionV>
            <wp:extent cx="5243830" cy="3531235"/>
            <wp:effectExtent l="0" t="0" r="13970" b="1206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6"/>
                    <a:stretch>
                      <a:fillRect/>
                    </a:stretch>
                  </pic:blipFill>
                  <pic:spPr>
                    <a:xfrm>
                      <a:off x="0" y="0"/>
                      <a:ext cx="5243830" cy="3531235"/>
                    </a:xfrm>
                    <a:prstGeom prst="rect">
                      <a:avLst/>
                    </a:prstGeom>
                    <a:noFill/>
                    <a:ln>
                      <a:noFill/>
                    </a:ln>
                  </pic:spPr>
                </pic:pic>
              </a:graphicData>
            </a:graphic>
          </wp:anchor>
        </w:drawing>
      </w:r>
    </w:p>
    <w:p w14:paraId="13BE1E76">
      <w:pPr>
        <w:keepNext w:val="0"/>
        <w:keepLines w:val="0"/>
        <w:pageBreakBefore w:val="0"/>
        <w:kinsoku/>
        <w:wordWrap/>
        <w:overflowPunct/>
        <w:topLinePunct w:val="0"/>
        <w:autoSpaceDN/>
        <w:bidi w:val="0"/>
        <w:adjustRightInd/>
        <w:snapToGrid/>
        <w:spacing w:line="500" w:lineRule="exact"/>
        <w:ind w:firstLine="495"/>
        <w:textAlignment w:val="auto"/>
      </w:pPr>
      <w:r>
        <w:rPr>
          <w:rFonts w:hint="eastAsia" w:ascii="宋体" w:hAnsi="宋体" w:eastAsia="宋体"/>
          <w:kern w:val="0"/>
          <w:sz w:val="24"/>
          <w:szCs w:val="24"/>
          <w:lang w:eastAsia="zh-CN"/>
        </w:rPr>
        <w:drawing>
          <wp:anchor distT="0" distB="0" distL="114300" distR="114300" simplePos="0" relativeHeight="251660288" behindDoc="0" locked="0" layoutInCell="1" allowOverlap="1">
            <wp:simplePos x="0" y="0"/>
            <wp:positionH relativeFrom="column">
              <wp:posOffset>180975</wp:posOffset>
            </wp:positionH>
            <wp:positionV relativeFrom="paragraph">
              <wp:posOffset>213995</wp:posOffset>
            </wp:positionV>
            <wp:extent cx="5139055" cy="5497195"/>
            <wp:effectExtent l="0" t="0" r="4445" b="8255"/>
            <wp:wrapSquare wrapText="bothSides"/>
            <wp:docPr id="15" name="图片 15" descr="b579b5ddf22103c3942b3c22e52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579b5ddf22103c3942b3c22e52abad"/>
                    <pic:cNvPicPr>
                      <a:picLocks noChangeAspect="1"/>
                    </pic:cNvPicPr>
                  </pic:nvPicPr>
                  <pic:blipFill>
                    <a:blip r:embed="rId7"/>
                    <a:stretch>
                      <a:fillRect/>
                    </a:stretch>
                  </pic:blipFill>
                  <pic:spPr>
                    <a:xfrm>
                      <a:off x="0" y="0"/>
                      <a:ext cx="5139055" cy="5497195"/>
                    </a:xfrm>
                    <a:prstGeom prst="rect">
                      <a:avLst/>
                    </a:prstGeom>
                  </pic:spPr>
                </pic:pic>
              </a:graphicData>
            </a:graphic>
          </wp:anchor>
        </w:drawing>
      </w:r>
    </w:p>
    <w:p w14:paraId="77D284D9">
      <w:pPr>
        <w:keepNext w:val="0"/>
        <w:keepLines w:val="0"/>
        <w:pageBreakBefore w:val="0"/>
        <w:kinsoku/>
        <w:wordWrap/>
        <w:overflowPunct/>
        <w:topLinePunct w:val="0"/>
        <w:autoSpaceDN/>
        <w:bidi w:val="0"/>
        <w:adjustRightInd/>
        <w:snapToGrid/>
        <w:spacing w:line="500" w:lineRule="exact"/>
        <w:ind w:firstLine="495"/>
        <w:textAlignment w:val="auto"/>
      </w:pPr>
    </w:p>
    <w:p w14:paraId="5A4A6E2C">
      <w:pPr>
        <w:keepNext w:val="0"/>
        <w:keepLines w:val="0"/>
        <w:pageBreakBefore w:val="0"/>
        <w:kinsoku/>
        <w:wordWrap/>
        <w:overflowPunct/>
        <w:topLinePunct w:val="0"/>
        <w:autoSpaceDN/>
        <w:bidi w:val="0"/>
        <w:adjustRightInd/>
        <w:snapToGrid/>
        <w:spacing w:line="500" w:lineRule="exact"/>
        <w:ind w:firstLine="495"/>
        <w:textAlignment w:val="auto"/>
      </w:pPr>
    </w:p>
    <w:p w14:paraId="39243F6E">
      <w:pPr>
        <w:keepNext w:val="0"/>
        <w:keepLines w:val="0"/>
        <w:pageBreakBefore w:val="0"/>
        <w:kinsoku/>
        <w:wordWrap/>
        <w:overflowPunct/>
        <w:topLinePunct w:val="0"/>
        <w:autoSpaceDN/>
        <w:bidi w:val="0"/>
        <w:adjustRightInd/>
        <w:snapToGrid/>
        <w:spacing w:line="500" w:lineRule="exact"/>
        <w:ind w:firstLine="495"/>
        <w:textAlignment w:val="auto"/>
      </w:pPr>
    </w:p>
    <w:p w14:paraId="161F6E42">
      <w:pPr>
        <w:keepNext w:val="0"/>
        <w:keepLines w:val="0"/>
        <w:pageBreakBefore w:val="0"/>
        <w:kinsoku/>
        <w:wordWrap/>
        <w:overflowPunct/>
        <w:topLinePunct w:val="0"/>
        <w:autoSpaceDN/>
        <w:bidi w:val="0"/>
        <w:adjustRightInd/>
        <w:snapToGrid/>
        <w:spacing w:line="500" w:lineRule="exact"/>
        <w:ind w:firstLine="495"/>
        <w:textAlignment w:val="auto"/>
        <w:rPr>
          <w:rFonts w:hint="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B26C">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C2084">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0EC2084">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98C2A"/>
    <w:multiLevelType w:val="singleLevel"/>
    <w:tmpl w:val="AA998C2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mMTRjMDRkMjhlYzMyNGYwNjg0OTJiMmJkMDFiNDUifQ=="/>
  </w:docVars>
  <w:rsids>
    <w:rsidRoot w:val="00974D95"/>
    <w:rsid w:val="000949A9"/>
    <w:rsid w:val="000D60C4"/>
    <w:rsid w:val="00176313"/>
    <w:rsid w:val="00197BDC"/>
    <w:rsid w:val="002D00FA"/>
    <w:rsid w:val="004E1C34"/>
    <w:rsid w:val="005539A0"/>
    <w:rsid w:val="005C3D6A"/>
    <w:rsid w:val="006D2F64"/>
    <w:rsid w:val="00735488"/>
    <w:rsid w:val="00941C84"/>
    <w:rsid w:val="00957D5E"/>
    <w:rsid w:val="00974D95"/>
    <w:rsid w:val="00977754"/>
    <w:rsid w:val="00A019E5"/>
    <w:rsid w:val="00A05212"/>
    <w:rsid w:val="00A44038"/>
    <w:rsid w:val="00A73908"/>
    <w:rsid w:val="00AB3CAF"/>
    <w:rsid w:val="00AD5ED8"/>
    <w:rsid w:val="00B44FDD"/>
    <w:rsid w:val="00BA34AC"/>
    <w:rsid w:val="00BE0721"/>
    <w:rsid w:val="00C40DB5"/>
    <w:rsid w:val="00DB261E"/>
    <w:rsid w:val="00DF7BAD"/>
    <w:rsid w:val="00E2022A"/>
    <w:rsid w:val="00F00610"/>
    <w:rsid w:val="00F62A42"/>
    <w:rsid w:val="014F19AC"/>
    <w:rsid w:val="04E1057C"/>
    <w:rsid w:val="07462294"/>
    <w:rsid w:val="07B54D24"/>
    <w:rsid w:val="07D81402"/>
    <w:rsid w:val="08482B39"/>
    <w:rsid w:val="094626B8"/>
    <w:rsid w:val="09D641F2"/>
    <w:rsid w:val="0BF71DAF"/>
    <w:rsid w:val="0C1C35C4"/>
    <w:rsid w:val="0C246E28"/>
    <w:rsid w:val="0C734CEB"/>
    <w:rsid w:val="0CF32D62"/>
    <w:rsid w:val="0D73440B"/>
    <w:rsid w:val="10173C40"/>
    <w:rsid w:val="11E76422"/>
    <w:rsid w:val="12945F88"/>
    <w:rsid w:val="15107A3E"/>
    <w:rsid w:val="177A3D60"/>
    <w:rsid w:val="179D3A04"/>
    <w:rsid w:val="19004F8E"/>
    <w:rsid w:val="1CE75528"/>
    <w:rsid w:val="20AC2D10"/>
    <w:rsid w:val="20C61422"/>
    <w:rsid w:val="20D14525"/>
    <w:rsid w:val="22F56BF1"/>
    <w:rsid w:val="24B6415E"/>
    <w:rsid w:val="24D23BE9"/>
    <w:rsid w:val="24E2206F"/>
    <w:rsid w:val="26B175FA"/>
    <w:rsid w:val="28A112C9"/>
    <w:rsid w:val="2D2D6F87"/>
    <w:rsid w:val="2E6013B9"/>
    <w:rsid w:val="2F1E127D"/>
    <w:rsid w:val="2FE9188B"/>
    <w:rsid w:val="30C108CE"/>
    <w:rsid w:val="30D263C0"/>
    <w:rsid w:val="314415EF"/>
    <w:rsid w:val="32766DAF"/>
    <w:rsid w:val="32B819E9"/>
    <w:rsid w:val="333F3D97"/>
    <w:rsid w:val="34B3376B"/>
    <w:rsid w:val="3518051D"/>
    <w:rsid w:val="35613C72"/>
    <w:rsid w:val="358838F4"/>
    <w:rsid w:val="366D0476"/>
    <w:rsid w:val="369147C9"/>
    <w:rsid w:val="386B0277"/>
    <w:rsid w:val="38915088"/>
    <w:rsid w:val="39817053"/>
    <w:rsid w:val="3A992100"/>
    <w:rsid w:val="3A9F3128"/>
    <w:rsid w:val="3AE96BE3"/>
    <w:rsid w:val="3F9D7F9C"/>
    <w:rsid w:val="3FDB1B7F"/>
    <w:rsid w:val="40291830"/>
    <w:rsid w:val="43996CCD"/>
    <w:rsid w:val="45575091"/>
    <w:rsid w:val="46A732F1"/>
    <w:rsid w:val="46AC62E1"/>
    <w:rsid w:val="472B6E47"/>
    <w:rsid w:val="47B65350"/>
    <w:rsid w:val="48781FF8"/>
    <w:rsid w:val="48F055E1"/>
    <w:rsid w:val="490D7DE5"/>
    <w:rsid w:val="4A5625D5"/>
    <w:rsid w:val="4A6F4C2B"/>
    <w:rsid w:val="4CE3088A"/>
    <w:rsid w:val="4D280422"/>
    <w:rsid w:val="4F2953A8"/>
    <w:rsid w:val="4F45258B"/>
    <w:rsid w:val="50EC5729"/>
    <w:rsid w:val="515244CA"/>
    <w:rsid w:val="51D82CD4"/>
    <w:rsid w:val="51FE06B9"/>
    <w:rsid w:val="5211471D"/>
    <w:rsid w:val="526E5541"/>
    <w:rsid w:val="56D1799C"/>
    <w:rsid w:val="57E04E59"/>
    <w:rsid w:val="58A957AC"/>
    <w:rsid w:val="59570D64"/>
    <w:rsid w:val="59835FFD"/>
    <w:rsid w:val="5AC244AF"/>
    <w:rsid w:val="5DA23F23"/>
    <w:rsid w:val="5FE84830"/>
    <w:rsid w:val="604744DC"/>
    <w:rsid w:val="606A5821"/>
    <w:rsid w:val="638F7B6D"/>
    <w:rsid w:val="639130C5"/>
    <w:rsid w:val="679E2C94"/>
    <w:rsid w:val="683C07E9"/>
    <w:rsid w:val="6C256AA0"/>
    <w:rsid w:val="717F3025"/>
    <w:rsid w:val="751029E3"/>
    <w:rsid w:val="7A4B1DC7"/>
    <w:rsid w:val="7A613399"/>
    <w:rsid w:val="7B436382"/>
    <w:rsid w:val="7DC62B4A"/>
    <w:rsid w:val="7DD642CC"/>
    <w:rsid w:val="7E17486C"/>
    <w:rsid w:val="7E90249F"/>
    <w:rsid w:val="7F4C1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semiHidden/>
    <w:unhideWhenUsed/>
    <w:qFormat/>
    <w:uiPriority w:val="99"/>
    <w:pPr>
      <w:tabs>
        <w:tab w:val="center" w:pos="4153"/>
        <w:tab w:val="right" w:pos="8306"/>
      </w:tabs>
      <w:snapToGrid w:val="0"/>
      <w:jc w:val="left"/>
    </w:pPr>
    <w:rPr>
      <w:sz w:val="18"/>
    </w:rPr>
  </w:style>
  <w:style w:type="paragraph" w:styleId="12">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8">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semiHidden/>
    <w:qFormat/>
    <w:uiPriority w:val="9"/>
    <w:rPr>
      <w:rFonts w:cstheme="majorBidi"/>
      <w:color w:val="104862" w:themeColor="accent1" w:themeShade="BF"/>
      <w:sz w:val="28"/>
      <w:szCs w:val="28"/>
    </w:rPr>
  </w:style>
  <w:style w:type="character" w:customStyle="1" w:styleId="22">
    <w:name w:val="标题 5 字符"/>
    <w:basedOn w:val="17"/>
    <w:link w:val="6"/>
    <w:semiHidden/>
    <w:qFormat/>
    <w:uiPriority w:val="9"/>
    <w:rPr>
      <w:rFonts w:cstheme="majorBidi"/>
      <w:color w:val="104862" w:themeColor="accent1" w:themeShade="BF"/>
      <w:sz w:val="24"/>
      <w:szCs w:val="24"/>
    </w:rPr>
  </w:style>
  <w:style w:type="character" w:customStyle="1" w:styleId="23">
    <w:name w:val="标题 6 字符"/>
    <w:basedOn w:val="17"/>
    <w:link w:val="7"/>
    <w:semiHidden/>
    <w:qFormat/>
    <w:uiPriority w:val="9"/>
    <w:rPr>
      <w:rFonts w:cstheme="majorBidi"/>
      <w:b/>
      <w:bCs/>
      <w:color w:val="104862"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5"/>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7"/>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qFormat/>
    <w:uiPriority w:val="30"/>
    <w:rPr>
      <w:i/>
      <w:iCs/>
      <w:color w:val="104862" w:themeColor="accent1" w:themeShade="BF"/>
    </w:rPr>
  </w:style>
  <w:style w:type="character" w:customStyle="1" w:styleId="35">
    <w:name w:val="Intense Reference"/>
    <w:basedOn w:val="17"/>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3555</Words>
  <Characters>3616</Characters>
  <Lines>19</Lines>
  <Paragraphs>5</Paragraphs>
  <TotalTime>43</TotalTime>
  <ScaleCrop>false</ScaleCrop>
  <LinksUpToDate>false</LinksUpToDate>
  <CharactersWithSpaces>3629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2024-05-17T08:46:00Z</dcterms:created>
  <dc:creator>qin yang</dc:creator>
  <cp:lastModifiedBy>企业用户_679625573</cp:lastModifiedBy>
  <dcterms:modified xsi:type="dcterms:W3CDTF">2024-10-22T07:33:03Z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8B8ED16809AC4921ABE37FEC3E7F52B5_13</vt:lpwstr>
  </property>
</Properties>
</file>