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rPr>
          <w:color w:val="FF0000"/>
          <w:sz w:val="24"/>
          <w:szCs w:val="24"/>
        </w:rPr>
      </w:pPr>
    </w:p>
    <w:p>
      <w:pPr>
        <w:widowControl/>
        <w:spacing w:line="300" w:lineRule="atLeast"/>
        <w:ind w:firstLine="480" w:firstLineChars="200"/>
        <w:jc w:val="center"/>
        <w:rPr>
          <w:color w:val="000000"/>
          <w:sz w:val="24"/>
          <w:szCs w:val="24"/>
        </w:rPr>
      </w:pPr>
      <w:r>
        <w:rPr>
          <w:rFonts w:hint="eastAsia"/>
          <w:color w:val="000000"/>
          <w:sz w:val="24"/>
          <w:szCs w:val="24"/>
        </w:rPr>
        <w:t>教学设计方案</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40"/>
        <w:gridCol w:w="120"/>
        <w:gridCol w:w="708"/>
        <w:gridCol w:w="284"/>
        <w:gridCol w:w="638"/>
        <w:gridCol w:w="1084"/>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color w:val="000000"/>
                <w:szCs w:val="21"/>
              </w:rPr>
              <w:t>主讲教师</w:t>
            </w:r>
          </w:p>
        </w:tc>
        <w:tc>
          <w:tcPr>
            <w:tcW w:w="1560" w:type="dxa"/>
            <w:gridSpan w:val="2"/>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李慕</w:t>
            </w:r>
          </w:p>
        </w:tc>
        <w:tc>
          <w:tcPr>
            <w:tcW w:w="708" w:type="dxa"/>
            <w:noWrap w:val="0"/>
            <w:vAlign w:val="top"/>
          </w:tcPr>
          <w:p>
            <w:pPr>
              <w:widowControl/>
              <w:spacing w:line="300" w:lineRule="atLeast"/>
              <w:jc w:val="left"/>
              <w:rPr>
                <w:color w:val="000000"/>
                <w:szCs w:val="21"/>
              </w:rPr>
            </w:pPr>
            <w:r>
              <w:rPr>
                <w:rFonts w:hint="eastAsia"/>
                <w:color w:val="000000"/>
                <w:szCs w:val="21"/>
              </w:rPr>
              <w:t>单位</w:t>
            </w:r>
          </w:p>
        </w:tc>
        <w:tc>
          <w:tcPr>
            <w:tcW w:w="4899" w:type="dxa"/>
            <w:gridSpan w:val="4"/>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邵阳学院基础医学院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color w:val="000000"/>
                <w:szCs w:val="21"/>
              </w:rPr>
              <w:t>微课名称</w:t>
            </w:r>
          </w:p>
        </w:tc>
        <w:tc>
          <w:tcPr>
            <w:tcW w:w="3190" w:type="dxa"/>
            <w:gridSpan w:val="5"/>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染色体结构异常——罗伯逊易位</w:t>
            </w:r>
          </w:p>
        </w:tc>
        <w:tc>
          <w:tcPr>
            <w:tcW w:w="1084" w:type="dxa"/>
            <w:noWrap w:val="0"/>
            <w:vAlign w:val="top"/>
          </w:tcPr>
          <w:p>
            <w:pPr>
              <w:widowControl/>
              <w:spacing w:line="300" w:lineRule="atLeast"/>
              <w:jc w:val="left"/>
              <w:rPr>
                <w:color w:val="000000"/>
                <w:szCs w:val="21"/>
              </w:rPr>
            </w:pPr>
            <w:r>
              <w:rPr>
                <w:rFonts w:hint="eastAsia"/>
                <w:color w:val="000000"/>
                <w:szCs w:val="21"/>
              </w:rPr>
              <w:t>所属课程</w:t>
            </w:r>
          </w:p>
        </w:tc>
        <w:tc>
          <w:tcPr>
            <w:tcW w:w="2893" w:type="dxa"/>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医学遗传学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color w:val="000000"/>
                <w:szCs w:val="21"/>
              </w:rPr>
              <w:t>知识点</w:t>
            </w:r>
          </w:p>
        </w:tc>
        <w:tc>
          <w:tcPr>
            <w:tcW w:w="7167" w:type="dxa"/>
            <w:gridSpan w:val="7"/>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罗伯逊易位的基本概念、罗伯逊易位携带者的遗传学效应、罗伯逊易位型21三体综合征的发病机制。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color w:val="000000"/>
                <w:szCs w:val="21"/>
              </w:rPr>
              <w:t>适用对象</w:t>
            </w:r>
          </w:p>
        </w:tc>
        <w:tc>
          <w:tcPr>
            <w:tcW w:w="7167" w:type="dxa"/>
            <w:gridSpan w:val="7"/>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临床医学本科、护理学本科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color w:val="000000"/>
                <w:szCs w:val="21"/>
              </w:rPr>
              <w:t>时长</w:t>
            </w:r>
          </w:p>
        </w:tc>
        <w:tc>
          <w:tcPr>
            <w:tcW w:w="1440" w:type="dxa"/>
            <w:noWrap w:val="0"/>
            <w:vAlign w:val="top"/>
          </w:tcPr>
          <w:p>
            <w:pPr>
              <w:widowControl/>
              <w:spacing w:line="300" w:lineRule="atLeast"/>
              <w:jc w:val="left"/>
              <w:rPr>
                <w:rFonts w:hint="eastAsia" w:eastAsia="宋体"/>
                <w:color w:val="000000"/>
                <w:szCs w:val="21"/>
                <w:lang w:val="en-US" w:eastAsia="zh-CN"/>
              </w:rPr>
            </w:pPr>
            <w:r>
              <w:rPr>
                <w:rFonts w:hint="eastAsia"/>
                <w:color w:val="000000"/>
                <w:szCs w:val="21"/>
                <w:lang w:val="en-US" w:eastAsia="zh-CN"/>
              </w:rPr>
              <w:t>11分30秒</w:t>
            </w:r>
          </w:p>
        </w:tc>
        <w:tc>
          <w:tcPr>
            <w:tcW w:w="1112" w:type="dxa"/>
            <w:gridSpan w:val="3"/>
            <w:noWrap w:val="0"/>
            <w:vAlign w:val="top"/>
          </w:tcPr>
          <w:p>
            <w:pPr>
              <w:widowControl/>
              <w:spacing w:line="300" w:lineRule="atLeast"/>
              <w:jc w:val="left"/>
              <w:rPr>
                <w:color w:val="000000"/>
                <w:szCs w:val="21"/>
              </w:rPr>
            </w:pPr>
            <w:r>
              <w:rPr>
                <w:rFonts w:hint="eastAsia"/>
                <w:color w:val="000000"/>
                <w:szCs w:val="21"/>
              </w:rPr>
              <w:t>选用教材</w:t>
            </w:r>
          </w:p>
        </w:tc>
        <w:tc>
          <w:tcPr>
            <w:tcW w:w="4615" w:type="dxa"/>
            <w:gridSpan w:val="3"/>
            <w:noWrap w:val="0"/>
            <w:vAlign w:val="top"/>
          </w:tcPr>
          <w:p>
            <w:pPr>
              <w:widowControl/>
              <w:spacing w:line="300" w:lineRule="atLeast"/>
              <w:jc w:val="left"/>
              <w:rPr>
                <w:color w:val="000000"/>
                <w:szCs w:val="21"/>
              </w:rPr>
            </w:pPr>
            <w:r>
              <w:rPr>
                <w:rFonts w:hint="eastAsia"/>
                <w:color w:val="000000"/>
                <w:szCs w:val="21"/>
              </w:rPr>
              <w:t>《医学遗传学》第二版 杨保胜 高等教育出版社 201</w:t>
            </w:r>
            <w:r>
              <w:rPr>
                <w:color w:val="000000"/>
                <w:szCs w:val="21"/>
              </w:rPr>
              <w:t>9</w:t>
            </w:r>
            <w:r>
              <w:rPr>
                <w:rFonts w:hint="eastAsia"/>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noWrap w:val="0"/>
            <w:vAlign w:val="top"/>
          </w:tcPr>
          <w:p>
            <w:pPr>
              <w:widowControl/>
              <w:spacing w:line="300" w:lineRule="atLeast"/>
              <w:jc w:val="left"/>
              <w:rPr>
                <w:color w:val="000000"/>
                <w:szCs w:val="21"/>
              </w:rPr>
            </w:pPr>
            <w:r>
              <w:rPr>
                <w:rFonts w:hint="eastAsia" w:ascii="Arial" w:hAnsi="Arial" w:eastAsia="宋体" w:cs="Arial"/>
                <w:color w:val="000000"/>
                <w:kern w:val="0"/>
                <w:szCs w:val="21"/>
              </w:rPr>
              <w:t>百度云盘共享链接</w:t>
            </w:r>
          </w:p>
        </w:tc>
        <w:tc>
          <w:tcPr>
            <w:tcW w:w="7167" w:type="dxa"/>
            <w:gridSpan w:val="7"/>
            <w:noWrap w:val="0"/>
            <w:vAlign w:val="top"/>
          </w:tcPr>
          <w:p>
            <w:pPr>
              <w:widowControl/>
              <w:spacing w:line="300" w:lineRule="atLeast"/>
              <w:jc w:val="left"/>
              <w:rPr>
                <w:color w:val="000000"/>
                <w:szCs w:val="21"/>
              </w:rPr>
            </w:pPr>
            <w:r>
              <w:rPr>
                <w:rFonts w:hint="eastAsia"/>
                <w:color w:val="000000"/>
                <w:szCs w:val="21"/>
              </w:rPr>
              <w:t>https://pan.baidu.com/s/19YeeoA-xRyaq-3mUiDTtGg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8"/>
            <w:noWrap w:val="0"/>
            <w:vAlign w:val="top"/>
          </w:tcPr>
          <w:p>
            <w:pPr>
              <w:widowControl/>
              <w:spacing w:line="300" w:lineRule="atLeast"/>
              <w:jc w:val="left"/>
              <w:rPr>
                <w:color w:val="000000"/>
                <w:szCs w:val="21"/>
              </w:rPr>
            </w:pPr>
            <w:r>
              <w:rPr>
                <w:rFonts w:hint="eastAsia"/>
                <w:b/>
                <w:color w:val="000000"/>
                <w:szCs w:val="21"/>
              </w:rPr>
              <w:t>设计方案：</w:t>
            </w:r>
            <w:r>
              <w:rPr>
                <w:rFonts w:hint="eastAsia"/>
                <w:color w:val="000000"/>
                <w:szCs w:val="21"/>
              </w:rPr>
              <w:t>建议包含教学背景、教学目标、教学内容及重点难点分析、教学切入点、教学方法和过程（含时间分配）、教学总结等内容，注意文字简洁，思路清晰。</w:t>
            </w:r>
          </w:p>
          <w:p>
            <w:pPr>
              <w:widowControl/>
              <w:spacing w:line="300" w:lineRule="atLeast"/>
              <w:jc w:val="left"/>
              <w:rPr>
                <w:color w:val="000000"/>
                <w:szCs w:val="21"/>
              </w:rPr>
            </w:pPr>
          </w:p>
          <w:p>
            <w:pPr>
              <w:widowControl/>
              <w:spacing w:line="300" w:lineRule="atLeast"/>
              <w:jc w:val="left"/>
              <w:rPr>
                <w:rFonts w:hint="eastAsia"/>
                <w:color w:val="000000"/>
                <w:szCs w:val="21"/>
                <w:lang w:val="en-US" w:eastAsia="zh-CN"/>
              </w:rPr>
            </w:pPr>
            <w:r>
              <w:rPr>
                <w:rFonts w:hint="eastAsia"/>
                <w:color w:val="000000"/>
                <w:szCs w:val="21"/>
                <w:lang w:val="en-US" w:eastAsia="zh-CN"/>
              </w:rPr>
              <w:t>教学背景：</w:t>
            </w:r>
          </w:p>
          <w:p>
            <w:pPr>
              <w:widowControl/>
              <w:spacing w:line="300" w:lineRule="atLeast"/>
              <w:jc w:val="left"/>
              <w:rPr>
                <w:rFonts w:hint="eastAsia"/>
                <w:color w:val="000000"/>
                <w:szCs w:val="21"/>
                <w:lang w:val="en-US" w:eastAsia="zh-CN"/>
              </w:rPr>
            </w:pPr>
            <w:r>
              <w:rPr>
                <w:rFonts w:hint="eastAsia"/>
                <w:color w:val="000000"/>
                <w:szCs w:val="21"/>
                <w:lang w:val="en-US" w:eastAsia="zh-CN"/>
              </w:rPr>
              <w:t xml:space="preserve">  医学遗传学研究的对象是人类遗传病，染色体病是由于患者染色体数目或者结构异常所导致，由于基因组的大范围的失衡，患者病情往往非常严重（比如常染色体病患者往往智力严重低下，生长发育迟缓且组织器官多发畸形），且预后较差。但染色体病的发病机制、诊断和预防的研究已经非常成熟，其相关理论和遗传学检测技术广泛应用于临床现症病人诊断以及产前诊断中，因此染色体病这一节内容是医学遗传学的重点和难点。</w:t>
            </w:r>
          </w:p>
          <w:p>
            <w:pPr>
              <w:widowControl/>
              <w:spacing w:line="300" w:lineRule="atLeast"/>
              <w:jc w:val="left"/>
              <w:rPr>
                <w:rFonts w:hint="eastAsia"/>
                <w:color w:val="000000"/>
                <w:szCs w:val="21"/>
                <w:lang w:val="en-US" w:eastAsia="zh-CN"/>
              </w:rPr>
            </w:pPr>
            <w:r>
              <w:rPr>
                <w:rFonts w:hint="eastAsia"/>
                <w:color w:val="000000"/>
                <w:szCs w:val="21"/>
                <w:lang w:val="en-US" w:eastAsia="zh-CN"/>
              </w:rPr>
              <w:t xml:space="preserve">  学好染色体数目和结构异常的类型、发生机制、特殊的遗传学效应是学习染色体病遗传分型的基础，而这次微课将重点介绍染色体结构畸变中的一种特殊的易位类型——罗伯逊易位。</w:t>
            </w:r>
          </w:p>
          <w:p>
            <w:pPr>
              <w:widowControl/>
              <w:spacing w:line="300" w:lineRule="atLeast"/>
              <w:jc w:val="left"/>
              <w:rPr>
                <w:rFonts w:hint="eastAsia"/>
                <w:color w:val="000000"/>
                <w:szCs w:val="21"/>
                <w:lang w:val="en-US" w:eastAsia="zh-CN"/>
              </w:rPr>
            </w:pPr>
          </w:p>
          <w:p>
            <w:pPr>
              <w:widowControl/>
              <w:spacing w:line="300" w:lineRule="atLeast"/>
              <w:jc w:val="left"/>
              <w:rPr>
                <w:rFonts w:hint="eastAsia"/>
                <w:color w:val="000000"/>
                <w:szCs w:val="21"/>
                <w:lang w:val="en-US" w:eastAsia="zh-CN"/>
              </w:rPr>
            </w:pPr>
            <w:r>
              <w:rPr>
                <w:rFonts w:hint="eastAsia"/>
                <w:color w:val="000000"/>
                <w:szCs w:val="21"/>
                <w:lang w:val="en-US" w:eastAsia="zh-CN"/>
              </w:rPr>
              <w:t>教学目标：</w:t>
            </w:r>
          </w:p>
          <w:p>
            <w:pPr>
              <w:widowControl/>
              <w:numPr>
                <w:ilvl w:val="0"/>
                <w:numId w:val="1"/>
              </w:numPr>
              <w:spacing w:line="300" w:lineRule="atLeast"/>
              <w:jc w:val="left"/>
              <w:rPr>
                <w:rFonts w:hint="eastAsia"/>
                <w:color w:val="000000"/>
                <w:szCs w:val="21"/>
                <w:lang w:val="en-US" w:eastAsia="zh-CN"/>
              </w:rPr>
            </w:pPr>
            <w:r>
              <w:rPr>
                <w:rFonts w:hint="eastAsia"/>
                <w:color w:val="000000"/>
                <w:szCs w:val="21"/>
                <w:lang w:val="en-US" w:eastAsia="zh-CN"/>
              </w:rPr>
              <w:t>通过罗伯逊易位携带者表型的分析，使学生从分子层面上理解染色体病发病的根本原因。</w:t>
            </w:r>
          </w:p>
          <w:p>
            <w:pPr>
              <w:widowControl/>
              <w:numPr>
                <w:ilvl w:val="0"/>
                <w:numId w:val="1"/>
              </w:numPr>
              <w:spacing w:line="300" w:lineRule="atLeast"/>
              <w:jc w:val="left"/>
              <w:rPr>
                <w:rFonts w:hint="eastAsia"/>
                <w:color w:val="000000"/>
                <w:szCs w:val="21"/>
                <w:lang w:val="en-US" w:eastAsia="zh-CN"/>
              </w:rPr>
            </w:pPr>
            <w:r>
              <w:rPr>
                <w:rFonts w:hint="eastAsia"/>
                <w:color w:val="000000"/>
                <w:szCs w:val="21"/>
                <w:lang w:val="en-US" w:eastAsia="zh-CN"/>
              </w:rPr>
              <w:t>通过遗传图解分析，使学生熟悉罗伯逊易位携带者容易出现复发流产等不良生育结局的细胞学原因。</w:t>
            </w:r>
          </w:p>
          <w:p>
            <w:pPr>
              <w:widowControl/>
              <w:numPr>
                <w:ilvl w:val="0"/>
                <w:numId w:val="1"/>
              </w:numPr>
              <w:spacing w:line="300" w:lineRule="atLeast"/>
              <w:jc w:val="left"/>
              <w:rPr>
                <w:rFonts w:hint="eastAsia"/>
                <w:color w:val="000000"/>
                <w:szCs w:val="21"/>
                <w:lang w:val="en-US" w:eastAsia="zh-CN"/>
              </w:rPr>
            </w:pPr>
            <w:r>
              <w:rPr>
                <w:rFonts w:hint="eastAsia"/>
                <w:color w:val="000000"/>
                <w:szCs w:val="21"/>
                <w:lang w:val="en-US" w:eastAsia="zh-CN"/>
              </w:rPr>
              <w:t>通过临床案例分析，使学生掌握易位型21-三体综合征的主要核型、发病机制和生育遗传咨询的要点。</w:t>
            </w:r>
          </w:p>
          <w:p>
            <w:pPr>
              <w:widowControl/>
              <w:numPr>
                <w:numId w:val="0"/>
              </w:numPr>
              <w:spacing w:line="300" w:lineRule="atLeast"/>
              <w:jc w:val="left"/>
              <w:rPr>
                <w:rFonts w:hint="eastAsia"/>
                <w:color w:val="000000"/>
                <w:szCs w:val="21"/>
                <w:lang w:val="en-US" w:eastAsia="zh-CN"/>
              </w:rPr>
            </w:pP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教学内容：</w:t>
            </w:r>
          </w:p>
          <w:p>
            <w:pPr>
              <w:widowControl/>
              <w:numPr>
                <w:ilvl w:val="0"/>
                <w:numId w:val="2"/>
              </w:numPr>
              <w:spacing w:line="300" w:lineRule="atLeast"/>
              <w:jc w:val="left"/>
              <w:rPr>
                <w:rFonts w:hint="eastAsia"/>
                <w:color w:val="000000"/>
                <w:szCs w:val="21"/>
                <w:lang w:val="en-US" w:eastAsia="zh-CN"/>
              </w:rPr>
            </w:pPr>
            <w:r>
              <w:rPr>
                <w:rFonts w:hint="eastAsia"/>
                <w:color w:val="000000"/>
                <w:szCs w:val="21"/>
                <w:lang w:val="en-US" w:eastAsia="zh-CN"/>
              </w:rPr>
              <w:t>罗伯逊易位的基本概念。</w:t>
            </w:r>
          </w:p>
          <w:p>
            <w:pPr>
              <w:widowControl/>
              <w:numPr>
                <w:ilvl w:val="0"/>
                <w:numId w:val="2"/>
              </w:numPr>
              <w:spacing w:line="300" w:lineRule="atLeast"/>
              <w:jc w:val="left"/>
              <w:rPr>
                <w:rFonts w:hint="eastAsia"/>
                <w:color w:val="000000"/>
                <w:szCs w:val="21"/>
                <w:lang w:val="en-US" w:eastAsia="zh-CN"/>
              </w:rPr>
            </w:pPr>
            <w:r>
              <w:rPr>
                <w:rFonts w:hint="eastAsia"/>
                <w:color w:val="000000"/>
                <w:szCs w:val="21"/>
                <w:lang w:val="en-US" w:eastAsia="zh-CN"/>
              </w:rPr>
              <w:t>罗伯逊易位携带者的遗传学效应。</w:t>
            </w:r>
          </w:p>
          <w:p>
            <w:pPr>
              <w:widowControl/>
              <w:numPr>
                <w:ilvl w:val="0"/>
                <w:numId w:val="2"/>
              </w:numPr>
              <w:spacing w:line="300" w:lineRule="atLeast"/>
              <w:jc w:val="left"/>
              <w:rPr>
                <w:rFonts w:hint="eastAsia"/>
                <w:color w:val="000000"/>
                <w:szCs w:val="21"/>
                <w:lang w:val="en-US" w:eastAsia="zh-CN"/>
              </w:rPr>
            </w:pPr>
            <w:r>
              <w:rPr>
                <w:rFonts w:hint="eastAsia"/>
                <w:color w:val="000000"/>
                <w:szCs w:val="21"/>
                <w:lang w:val="en-US" w:eastAsia="zh-CN"/>
              </w:rPr>
              <w:t>罗伯逊易位型21三体综合征的核型、发病机制以及生育遗传咨询要点。</w:t>
            </w:r>
          </w:p>
          <w:p>
            <w:pPr>
              <w:widowControl/>
              <w:numPr>
                <w:numId w:val="0"/>
              </w:numPr>
              <w:spacing w:line="300" w:lineRule="atLeast"/>
              <w:jc w:val="left"/>
              <w:rPr>
                <w:rFonts w:hint="eastAsia"/>
                <w:color w:val="000000"/>
                <w:szCs w:val="21"/>
                <w:lang w:val="en-US" w:eastAsia="zh-CN"/>
              </w:rPr>
            </w:pP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重点难点分析：</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重点：1、罗伯逊易位携带者的特殊遗传学效应产生机制。</w:t>
            </w:r>
          </w:p>
          <w:p>
            <w:pPr>
              <w:widowControl/>
              <w:numPr>
                <w:ilvl w:val="0"/>
                <w:numId w:val="3"/>
              </w:numPr>
              <w:spacing w:line="300" w:lineRule="atLeast"/>
              <w:ind w:left="630" w:leftChars="0" w:firstLine="0" w:firstLineChars="0"/>
              <w:jc w:val="left"/>
              <w:rPr>
                <w:rFonts w:hint="eastAsia"/>
                <w:color w:val="000000"/>
                <w:szCs w:val="21"/>
                <w:lang w:val="en-US" w:eastAsia="zh-CN"/>
              </w:rPr>
            </w:pPr>
            <w:r>
              <w:rPr>
                <w:rFonts w:hint="eastAsia"/>
                <w:color w:val="000000"/>
                <w:szCs w:val="21"/>
                <w:lang w:val="en-US" w:eastAsia="zh-CN"/>
              </w:rPr>
              <w:t>罗伯逊易位型21三体综合征的核型、发病机制。</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难点：1、罗伯逊易位携带者生成配子的遗传分析。</w:t>
            </w:r>
          </w:p>
          <w:p>
            <w:pPr>
              <w:widowControl/>
              <w:numPr>
                <w:numId w:val="0"/>
              </w:numPr>
              <w:spacing w:line="300" w:lineRule="atLeast"/>
              <w:ind w:firstLine="630" w:firstLineChars="300"/>
              <w:jc w:val="left"/>
              <w:rPr>
                <w:rFonts w:hint="eastAsia"/>
                <w:color w:val="000000"/>
                <w:szCs w:val="21"/>
                <w:lang w:val="en-US" w:eastAsia="zh-CN"/>
              </w:rPr>
            </w:pPr>
            <w:r>
              <w:rPr>
                <w:rFonts w:hint="eastAsia"/>
                <w:color w:val="000000"/>
                <w:szCs w:val="21"/>
                <w:lang w:val="en-US" w:eastAsia="zh-CN"/>
              </w:rPr>
              <w:t>2、遗传性易位型21-三体综合征再发风险的计算。</w:t>
            </w: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rFonts w:hint="eastAsia"/>
                <w:color w:val="000000"/>
                <w:szCs w:val="21"/>
                <w:lang w:val="en-US" w:eastAsia="zh-CN"/>
              </w:rPr>
            </w:pPr>
            <w:r>
              <w:rPr>
                <w:rFonts w:hint="eastAsia"/>
                <w:color w:val="000000"/>
                <w:szCs w:val="21"/>
              </w:rPr>
              <w:t>教学切入点、教学方法和过程</w:t>
            </w:r>
            <w:r>
              <w:rPr>
                <w:rFonts w:hint="eastAsia"/>
                <w:color w:val="000000"/>
                <w:szCs w:val="21"/>
                <w:lang w:val="en-US" w:eastAsia="zh-CN"/>
              </w:rPr>
              <w:t>：</w:t>
            </w:r>
          </w:p>
          <w:p>
            <w:pPr>
              <w:widowControl/>
              <w:numPr>
                <w:ilvl w:val="0"/>
                <w:numId w:val="4"/>
              </w:numPr>
              <w:spacing w:line="300" w:lineRule="atLeast"/>
              <w:jc w:val="left"/>
              <w:rPr>
                <w:rFonts w:hint="eastAsia"/>
                <w:color w:val="000000"/>
                <w:szCs w:val="21"/>
                <w:lang w:val="en-US" w:eastAsia="zh-CN"/>
              </w:rPr>
            </w:pPr>
            <w:r>
              <w:rPr>
                <w:rFonts w:hint="eastAsia"/>
                <w:color w:val="000000"/>
                <w:szCs w:val="21"/>
                <w:lang w:val="en-US" w:eastAsia="zh-CN"/>
              </w:rPr>
              <w:t>根据罗伯逊易位携带者的特殊遗传学现象提出问题“一个个体是45条染色体会是什么情形”引发学生思考，随后提出与常规思维相反的答案“缺少一条染色体的个体也有可能正常”，引起学生的兴趣，随后进入这次微课的主题——罗伯逊易位。</w:t>
            </w:r>
          </w:p>
          <w:p>
            <w:pPr>
              <w:widowControl/>
              <w:numPr>
                <w:ilvl w:val="0"/>
                <w:numId w:val="4"/>
              </w:numPr>
              <w:spacing w:line="300" w:lineRule="atLeast"/>
              <w:jc w:val="left"/>
              <w:rPr>
                <w:rFonts w:hint="eastAsia"/>
                <w:color w:val="000000"/>
                <w:szCs w:val="21"/>
                <w:lang w:val="en-US" w:eastAsia="zh-CN"/>
              </w:rPr>
            </w:pPr>
            <w:r>
              <w:rPr>
                <w:rFonts w:hint="eastAsia"/>
                <w:color w:val="000000"/>
                <w:szCs w:val="21"/>
                <w:lang w:val="en-US" w:eastAsia="zh-CN"/>
              </w:rPr>
              <w:t>在介绍罗伯逊易位携带者的生育问题时，采用案例教学法，密切联系临床实践。同时案例采用最常见的染色体病21-三体综合征的易位型案例，使学生对21-三体综合征的标准型和易位型的核型、发生机制、再发风险有更深刻的理解，为学生进行染色体病生育遗传咨询的打下了理论基础。</w:t>
            </w:r>
          </w:p>
          <w:p>
            <w:pPr>
              <w:widowControl/>
              <w:numPr>
                <w:ilvl w:val="0"/>
                <w:numId w:val="4"/>
              </w:numPr>
              <w:spacing w:line="300" w:lineRule="atLeast"/>
              <w:jc w:val="left"/>
              <w:rPr>
                <w:rFonts w:hint="eastAsia"/>
                <w:color w:val="000000"/>
                <w:szCs w:val="21"/>
                <w:lang w:val="en-US" w:eastAsia="zh-CN"/>
              </w:rPr>
            </w:pPr>
            <w:r>
              <w:rPr>
                <w:rFonts w:hint="eastAsia"/>
                <w:color w:val="000000"/>
                <w:szCs w:val="21"/>
                <w:lang w:val="en-US" w:eastAsia="zh-CN"/>
              </w:rPr>
              <w:t>(1)开篇提出问题，引出此次微课主题（1min）；</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(2)介绍罗伯逊易位的基本概念（1.5min）；</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(3)解释罗伯逊易位携带者只有45条染色体却表型正常的分子原因（1min）；</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(4)利用案例教学法解释21-三体综合征的遗传分型以及易位21-三体综合征患者46条染色体却得病的遗传学原理（3.5min）；</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(5)解释该案例中患儿得易位型21-三体综合征原因以及通过遗传分析得出患儿母亲的生育风险，并给予医学指导（3.5min）；</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(6)进行课堂小结（1min）。</w:t>
            </w:r>
          </w:p>
          <w:p>
            <w:pPr>
              <w:widowControl/>
              <w:numPr>
                <w:numId w:val="0"/>
              </w:numPr>
              <w:spacing w:line="300" w:lineRule="atLeast"/>
              <w:jc w:val="left"/>
              <w:rPr>
                <w:rFonts w:hint="eastAsia"/>
                <w:color w:val="000000"/>
                <w:szCs w:val="21"/>
                <w:lang w:val="en-US" w:eastAsia="zh-CN"/>
              </w:rPr>
            </w:pP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教学小结：</w:t>
            </w:r>
          </w:p>
          <w:p>
            <w:pPr>
              <w:widowControl/>
              <w:numPr>
                <w:numId w:val="0"/>
              </w:numPr>
              <w:spacing w:line="300" w:lineRule="atLeast"/>
              <w:jc w:val="left"/>
              <w:rPr>
                <w:rFonts w:hint="eastAsia"/>
                <w:color w:val="000000"/>
                <w:szCs w:val="21"/>
                <w:lang w:val="en-US" w:eastAsia="zh-CN"/>
              </w:rPr>
            </w:pPr>
            <w:r>
              <w:rPr>
                <w:rFonts w:hint="eastAsia"/>
                <w:color w:val="000000"/>
                <w:szCs w:val="21"/>
                <w:lang w:val="en-US" w:eastAsia="zh-CN"/>
              </w:rPr>
              <w:t xml:space="preserve"> </w:t>
            </w:r>
          </w:p>
          <w:p>
            <w:pPr>
              <w:widowControl/>
              <w:spacing w:line="300" w:lineRule="atLeast"/>
              <w:jc w:val="left"/>
              <w:rPr>
                <w:rFonts w:hint="eastAsia"/>
                <w:color w:val="000000"/>
                <w:szCs w:val="21"/>
                <w:lang w:val="en-US" w:eastAsia="zh-CN"/>
              </w:rPr>
            </w:pPr>
            <w:r>
              <w:rPr>
                <w:rFonts w:hint="eastAsia"/>
                <w:color w:val="000000"/>
                <w:szCs w:val="21"/>
                <w:lang w:val="en-US" w:eastAsia="zh-CN"/>
              </w:rPr>
              <w:t xml:space="preserve">  本次微课的主题选取了染色体结构异常的一种特殊类型——罗伯逊易位来进行讲解。罗伯逊易位携带者往往存在特殊的遗传学效应，比如个体只有45条染色体，表型却正常，但往往存在复发流产或者生育过染色体病患儿的不良孕产史。而临床上发病率最高的染色体病21-三体综合征除了我们熟悉的标准型，还有罗伯逊易位型。掌握罗伯逊易位有利于我们区分21-三体综合征不同遗传分型的临床要点，这是临床医生能够准确进行21-三体综合征遗传咨询的前提条件。在教学设计的过程中，主要采取问题导入法和案例分析法开展教学，并辅以动画和遗传图解进行分析，着重介绍罗伯逊易位携带者的特殊遗传学效应产生机制以及罗伯逊易位型21三体综合征的核型、发病机制和生育遗传咨询要点。除了微课视频，还附有相关习题word版本帮助同学进行课后复习，巩固知识要点。</w:t>
            </w:r>
          </w:p>
          <w:p>
            <w:pPr>
              <w:widowControl/>
              <w:numPr>
                <w:numId w:val="0"/>
              </w:numPr>
              <w:spacing w:line="300" w:lineRule="atLeast"/>
              <w:ind w:firstLine="420" w:firstLineChars="200"/>
              <w:jc w:val="left"/>
              <w:rPr>
                <w:rFonts w:hint="eastAsia"/>
                <w:color w:val="000000"/>
                <w:szCs w:val="21"/>
                <w:lang w:val="en-US" w:eastAsia="zh-CN"/>
              </w:rPr>
            </w:pPr>
            <w:r>
              <w:rPr>
                <w:rFonts w:hint="eastAsia"/>
                <w:color w:val="000000"/>
                <w:szCs w:val="21"/>
                <w:lang w:val="en-US" w:eastAsia="zh-CN"/>
              </w:rPr>
              <w:t>希望此次微课通过罗伯逊易位携带者表型的分析，使学生从分子层面上理解染色体病发病的根本原因；通过遗传图解分析，使学生熟悉罗伯逊易位携带者容易出现复发流产等不良生育结局的细胞学原因；通过临床案例分析，使学生掌握易位型21-三体综合征的主要核型、发病机制和生育遗传咨询的要点。</w:t>
            </w: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bookmarkStart w:id="0" w:name="_GoBack"/>
            <w:bookmarkEnd w:id="0"/>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p>
            <w:pPr>
              <w:widowControl/>
              <w:spacing w:line="300" w:lineRule="atLeast"/>
              <w:jc w:val="left"/>
              <w:rPr>
                <w:color w:val="000000"/>
                <w:szCs w:val="21"/>
              </w:rPr>
            </w:pPr>
          </w:p>
        </w:tc>
      </w:tr>
    </w:tbl>
    <w:p>
      <w:pPr>
        <w:widowControl/>
        <w:spacing w:line="300" w:lineRule="atLeast"/>
        <w:ind w:firstLine="480" w:firstLineChars="200"/>
        <w:jc w:val="left"/>
        <w:rPr>
          <w:rFonts w:hint="default"/>
          <w:color w:val="FF0000"/>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938F"/>
    <w:multiLevelType w:val="singleLevel"/>
    <w:tmpl w:val="1C29938F"/>
    <w:lvl w:ilvl="0" w:tentative="0">
      <w:start w:val="1"/>
      <w:numFmt w:val="decimal"/>
      <w:suff w:val="nothing"/>
      <w:lvlText w:val="%1、"/>
      <w:lvlJc w:val="left"/>
    </w:lvl>
  </w:abstractNum>
  <w:abstractNum w:abstractNumId="1">
    <w:nsid w:val="24FF678D"/>
    <w:multiLevelType w:val="singleLevel"/>
    <w:tmpl w:val="24FF678D"/>
    <w:lvl w:ilvl="0" w:tentative="0">
      <w:start w:val="1"/>
      <w:numFmt w:val="decimal"/>
      <w:suff w:val="nothing"/>
      <w:lvlText w:val="%1、"/>
      <w:lvlJc w:val="left"/>
    </w:lvl>
  </w:abstractNum>
  <w:abstractNum w:abstractNumId="2">
    <w:nsid w:val="5F0D8A0C"/>
    <w:multiLevelType w:val="singleLevel"/>
    <w:tmpl w:val="5F0D8A0C"/>
    <w:lvl w:ilvl="0" w:tentative="0">
      <w:start w:val="1"/>
      <w:numFmt w:val="decimal"/>
      <w:suff w:val="nothing"/>
      <w:lvlText w:val="%1、"/>
      <w:lvlJc w:val="left"/>
    </w:lvl>
  </w:abstractNum>
  <w:abstractNum w:abstractNumId="3">
    <w:nsid w:val="7DCF2D64"/>
    <w:multiLevelType w:val="singleLevel"/>
    <w:tmpl w:val="7DCF2D64"/>
    <w:lvl w:ilvl="0" w:tentative="0">
      <w:start w:val="2"/>
      <w:numFmt w:val="decimal"/>
      <w:suff w:val="nothing"/>
      <w:lvlText w:val="%1、"/>
      <w:lvlJc w:val="left"/>
      <w:pPr>
        <w:ind w:left="630" w:leftChars="0" w:firstLine="0" w:firstLineChars="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D4"/>
    <w:rsid w:val="00476BD8"/>
    <w:rsid w:val="006B79C1"/>
    <w:rsid w:val="007E3C9C"/>
    <w:rsid w:val="009D4DD4"/>
    <w:rsid w:val="022035DE"/>
    <w:rsid w:val="04956C63"/>
    <w:rsid w:val="15600F20"/>
    <w:rsid w:val="166F7B6B"/>
    <w:rsid w:val="17C91641"/>
    <w:rsid w:val="1C3347E9"/>
    <w:rsid w:val="25373EFE"/>
    <w:rsid w:val="28D069FB"/>
    <w:rsid w:val="2C105F45"/>
    <w:rsid w:val="2C826AE2"/>
    <w:rsid w:val="2E054BFA"/>
    <w:rsid w:val="37E434C8"/>
    <w:rsid w:val="46947E2E"/>
    <w:rsid w:val="48E24CAA"/>
    <w:rsid w:val="494F51D5"/>
    <w:rsid w:val="4C182173"/>
    <w:rsid w:val="5320361B"/>
    <w:rsid w:val="55785C57"/>
    <w:rsid w:val="6198459E"/>
    <w:rsid w:val="63D55834"/>
    <w:rsid w:val="6A350B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564</Characters>
  <Lines>4</Lines>
  <Paragraphs>1</Paragraphs>
  <TotalTime>3</TotalTime>
  <ScaleCrop>false</ScaleCrop>
  <LinksUpToDate>false</LinksUpToDate>
  <CharactersWithSpaces>661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2017-12-06T02:20:00Z</dcterms:created>
  <dc:creator>Administrator</dc:creator>
  <cp:lastModifiedBy>Y400</cp:lastModifiedBy>
  <cp:lastPrinted>2019-11-18T01:23:17Z</cp:lastPrinted>
  <dcterms:modified xsi:type="dcterms:W3CDTF">2019-12-05T05:45:13Z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