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40" w:right="240"/>
        <w:jc w:val="left"/>
        <w:rPr>
          <w:b/>
          <w:sz w:val="52"/>
          <w:szCs w:val="52"/>
        </w:rPr>
      </w:pPr>
      <w:bookmarkStart w:id="0" w:name="_Toc455737804"/>
    </w:p>
    <w:p>
      <w:pPr>
        <w:ind w:left="240" w:right="240"/>
        <w:jc w:val="left"/>
        <w:rPr>
          <w:b/>
          <w:sz w:val="52"/>
          <w:szCs w:val="52"/>
        </w:rPr>
      </w:pPr>
    </w:p>
    <w:p>
      <w:pPr>
        <w:ind w:left="240" w:right="240"/>
        <w:jc w:val="left"/>
        <w:rPr>
          <w:b/>
          <w:sz w:val="52"/>
          <w:szCs w:val="52"/>
        </w:rPr>
      </w:pPr>
    </w:p>
    <w:p>
      <w:pPr>
        <w:ind w:left="240" w:right="240"/>
        <w:jc w:val="left"/>
        <w:rPr>
          <w:b/>
          <w:sz w:val="52"/>
          <w:szCs w:val="52"/>
        </w:rPr>
      </w:pPr>
    </w:p>
    <w:p>
      <w:pPr>
        <w:ind w:left="240" w:right="240"/>
        <w:jc w:val="left"/>
        <w:rPr>
          <w:b/>
          <w:sz w:val="52"/>
          <w:szCs w:val="52"/>
        </w:rPr>
      </w:pPr>
    </w:p>
    <w:p>
      <w:pPr>
        <w:ind w:left="240" w:right="240"/>
        <w:jc w:val="left"/>
        <w:rPr>
          <w:b/>
          <w:sz w:val="52"/>
          <w:szCs w:val="52"/>
        </w:rPr>
      </w:pPr>
    </w:p>
    <w:p>
      <w:pPr>
        <w:ind w:left="240" w:right="24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云就业毕业生网签三方协议系统</w:t>
      </w:r>
    </w:p>
    <w:p>
      <w:pPr>
        <w:ind w:left="240" w:right="24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——</w:t>
      </w:r>
      <w:bookmarkEnd w:id="0"/>
      <w:r>
        <w:rPr>
          <w:rFonts w:hint="eastAsia"/>
          <w:b/>
          <w:sz w:val="52"/>
          <w:szCs w:val="52"/>
        </w:rPr>
        <w:t>beta版操作手册</w:t>
      </w:r>
    </w:p>
    <w:p>
      <w:pPr>
        <w:ind w:left="240" w:right="24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（学生版）</w:t>
      </w:r>
    </w:p>
    <w:p>
      <w:pPr>
        <w:ind w:left="240" w:right="240"/>
        <w:jc w:val="center"/>
        <w:rPr>
          <w:b/>
          <w:sz w:val="52"/>
          <w:szCs w:val="52"/>
        </w:rPr>
      </w:pPr>
    </w:p>
    <w:p>
      <w:pPr>
        <w:ind w:left="240" w:right="240"/>
        <w:jc w:val="center"/>
        <w:rPr>
          <w:b/>
          <w:sz w:val="52"/>
          <w:szCs w:val="52"/>
        </w:rPr>
      </w:pPr>
    </w:p>
    <w:p>
      <w:pPr>
        <w:ind w:left="240" w:right="240"/>
        <w:jc w:val="center"/>
        <w:rPr>
          <w:b/>
          <w:sz w:val="52"/>
          <w:szCs w:val="52"/>
        </w:rPr>
      </w:pPr>
    </w:p>
    <w:p>
      <w:pPr>
        <w:ind w:left="240" w:right="240"/>
        <w:jc w:val="center"/>
        <w:rPr>
          <w:b/>
          <w:sz w:val="52"/>
          <w:szCs w:val="52"/>
        </w:rPr>
      </w:pPr>
    </w:p>
    <w:p>
      <w:pPr>
        <w:ind w:left="240" w:right="240"/>
        <w:jc w:val="center"/>
        <w:rPr>
          <w:b/>
          <w:sz w:val="52"/>
          <w:szCs w:val="52"/>
        </w:rPr>
      </w:pPr>
    </w:p>
    <w:p>
      <w:pPr>
        <w:ind w:left="240" w:right="240"/>
        <w:jc w:val="center"/>
        <w:rPr>
          <w:b/>
          <w:sz w:val="52"/>
          <w:szCs w:val="52"/>
        </w:rPr>
      </w:pPr>
    </w:p>
    <w:p>
      <w:pPr>
        <w:ind w:left="240" w:right="240"/>
        <w:jc w:val="center"/>
        <w:rPr>
          <w:b/>
          <w:sz w:val="52"/>
          <w:szCs w:val="52"/>
        </w:rPr>
      </w:pPr>
    </w:p>
    <w:p>
      <w:pPr>
        <w:ind w:left="240" w:right="240"/>
        <w:jc w:val="center"/>
        <w:rPr>
          <w:szCs w:val="24"/>
        </w:rPr>
      </w:pPr>
      <w:r>
        <w:rPr>
          <w:rFonts w:hint="eastAsia"/>
          <w:szCs w:val="24"/>
        </w:rPr>
        <w:t>20</w:t>
      </w:r>
      <w:r>
        <w:rPr>
          <w:rFonts w:hint="eastAsia"/>
          <w:szCs w:val="24"/>
          <w:lang w:val="en-US" w:eastAsia="zh-CN"/>
        </w:rPr>
        <w:t>20</w:t>
      </w:r>
      <w:r>
        <w:rPr>
          <w:rFonts w:hint="eastAsia"/>
          <w:szCs w:val="24"/>
        </w:rPr>
        <w:t>年</w:t>
      </w:r>
      <w:r>
        <w:rPr>
          <w:rFonts w:hint="eastAsia"/>
          <w:szCs w:val="24"/>
          <w:lang w:val="en-US" w:eastAsia="zh-CN"/>
        </w:rPr>
        <w:t>2</w:t>
      </w:r>
      <w:r>
        <w:rPr>
          <w:rFonts w:hint="eastAsia"/>
          <w:szCs w:val="24"/>
        </w:rPr>
        <w:t>月制</w:t>
      </w:r>
    </w:p>
    <w:p>
      <w:pPr>
        <w:ind w:left="240" w:right="240"/>
        <w:jc w:val="center"/>
        <w:rPr>
          <w:b/>
          <w:sz w:val="52"/>
          <w:szCs w:val="52"/>
        </w:rPr>
      </w:pPr>
    </w:p>
    <w:p>
      <w:pPr>
        <w:ind w:left="240" w:right="240"/>
        <w:jc w:val="center"/>
        <w:rPr>
          <w:b/>
          <w:sz w:val="52"/>
          <w:szCs w:val="52"/>
        </w:rPr>
      </w:pPr>
    </w:p>
    <w:p>
      <w:pPr>
        <w:widowControl/>
        <w:ind w:left="0" w:leftChars="0" w:right="0" w:rightChars="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>
      <w:pPr>
        <w:pStyle w:val="13"/>
        <w:tabs>
          <w:tab w:val="left" w:pos="720"/>
          <w:tab w:val="right" w:leader="dot" w:pos="8302"/>
        </w:tabs>
        <w:ind w:left="240" w:right="240"/>
        <w:jc w:val="left"/>
        <w:rPr>
          <w:rFonts w:hint="eastAsia" w:eastAsiaTheme="minorEastAsia"/>
          <w:lang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9966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kern w:val="2"/>
          <w:sz w:val="24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31"/>
            <w:tabs>
              <w:tab w:val="right" w:leader="dot" w:pos="8312"/>
            </w:tabs>
            <w:rPr>
              <w:b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_Toc24795 </w:instrText>
          </w:r>
          <w:r>
            <w:rPr>
              <w:b/>
            </w:rPr>
            <w:fldChar w:fldCharType="separate"/>
          </w:r>
          <w:r>
            <w:rPr>
              <w:rFonts w:hint="eastAsia" w:eastAsia="黑体"/>
              <w:b/>
              <w:i w:val="0"/>
            </w:rPr>
            <w:t xml:space="preserve">1. </w:t>
          </w:r>
          <w:r>
            <w:rPr>
              <w:rFonts w:hint="eastAsia"/>
              <w:b/>
            </w:rPr>
            <w:t>云就业毕业生网签三方协议系统流程图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_Toc24795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31"/>
            <w:tabs>
              <w:tab w:val="right" w:leader="dot" w:pos="8312"/>
            </w:tabs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_Toc30216 </w:instrText>
          </w:r>
          <w:r>
            <w:rPr>
              <w:b/>
            </w:rPr>
            <w:fldChar w:fldCharType="separate"/>
          </w:r>
          <w:r>
            <w:rPr>
              <w:rFonts w:hint="eastAsia" w:eastAsia="黑体"/>
              <w:b/>
              <w:i w:val="0"/>
            </w:rPr>
            <w:t xml:space="preserve">2. </w:t>
          </w:r>
          <w:r>
            <w:rPr>
              <w:rFonts w:hint="eastAsia"/>
              <w:b/>
            </w:rPr>
            <w:t>生源核查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_Toc30216 </w:instrText>
          </w:r>
          <w:r>
            <w:rPr>
              <w:b/>
            </w:rPr>
            <w:fldChar w:fldCharType="separate"/>
          </w:r>
          <w:r>
            <w:rPr>
              <w:b/>
            </w:rPr>
            <w:t>2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31"/>
            <w:tabs>
              <w:tab w:val="right" w:leader="dot" w:pos="8312"/>
            </w:tabs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_Toc2471 </w:instrText>
          </w:r>
          <w:r>
            <w:rPr>
              <w:b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3.</w:t>
          </w:r>
          <w:r>
            <w:rPr>
              <w:rFonts w:hint="eastAsia"/>
              <w:b/>
            </w:rPr>
            <w:t>三方协议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_Toc2471 </w:instrText>
          </w:r>
          <w:r>
            <w:rPr>
              <w:b/>
            </w:rPr>
            <w:fldChar w:fldCharType="separate"/>
          </w:r>
          <w:r>
            <w:rPr>
              <w:b/>
            </w:rPr>
            <w:t>3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3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_Toc25991 </w:instrText>
          </w:r>
          <w:r>
            <w:fldChar w:fldCharType="separate"/>
          </w:r>
          <w:r>
            <w:rPr>
              <w:rFonts w:hint="eastAsia"/>
            </w:rPr>
            <w:t>4.1邀约消息通知</w:t>
          </w:r>
          <w:r>
            <w:tab/>
          </w:r>
          <w:r>
            <w:fldChar w:fldCharType="begin"/>
          </w:r>
          <w:r>
            <w:instrText xml:space="preserve"> PAGEREF _Toc25991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_Toc7455 </w:instrText>
          </w:r>
          <w:r>
            <w:fldChar w:fldCharType="separate"/>
          </w:r>
          <w:r>
            <w:rPr>
              <w:rFonts w:hint="eastAsia"/>
            </w:rPr>
            <w:t>4.2三方协议管理</w:t>
          </w:r>
          <w:r>
            <w:tab/>
          </w:r>
          <w:r>
            <w:fldChar w:fldCharType="begin"/>
          </w:r>
          <w:r>
            <w:instrText xml:space="preserve"> PAGEREF _Toc7455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3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_Toc9821 </w:instrText>
          </w:r>
          <w:r>
            <w:fldChar w:fldCharType="separate"/>
          </w:r>
          <w:r>
            <w:rPr>
              <w:rFonts w:hint="eastAsia"/>
            </w:rPr>
            <w:t>4.3就业协议打印</w:t>
          </w:r>
          <w:r>
            <w:tab/>
          </w:r>
          <w:r>
            <w:fldChar w:fldCharType="begin"/>
          </w:r>
          <w:r>
            <w:instrText xml:space="preserve"> PAGEREF _Toc9821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31"/>
            <w:tabs>
              <w:tab w:val="right" w:leader="dot" w:pos="8312"/>
            </w:tabs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_Toc1409 </w:instrText>
          </w:r>
          <w:r>
            <w:rPr>
              <w:b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4</w:t>
          </w:r>
          <w:r>
            <w:rPr>
              <w:rFonts w:hint="eastAsia" w:eastAsia="黑体"/>
              <w:b/>
              <w:i w:val="0"/>
            </w:rPr>
            <w:t xml:space="preserve">. </w:t>
          </w:r>
          <w:r>
            <w:rPr>
              <w:rFonts w:hint="eastAsia"/>
              <w:b/>
            </w:rPr>
            <w:t>申请解约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_Toc1409 </w:instrText>
          </w:r>
          <w:r>
            <w:rPr>
              <w:b/>
            </w:rPr>
            <w:fldChar w:fldCharType="separate"/>
          </w:r>
          <w:r>
            <w:rPr>
              <w:b/>
            </w:rPr>
            <w:t>11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ind w:left="98" w:leftChars="41" w:right="240"/>
            <w:jc w:val="left"/>
            <w:sectPr>
              <w:headerReference r:id="rId5" w:type="first"/>
              <w:footerReference r:id="rId8" w:type="first"/>
              <w:headerReference r:id="rId3" w:type="default"/>
              <w:footerReference r:id="rId6" w:type="default"/>
              <w:headerReference r:id="rId4" w:type="even"/>
              <w:footerReference r:id="rId7" w:type="even"/>
              <w:pgSz w:w="11906" w:h="16838"/>
              <w:pgMar w:top="1440" w:right="1797" w:bottom="1440" w:left="1797" w:header="851" w:footer="992" w:gutter="0"/>
              <w:cols w:space="425" w:num="1"/>
              <w:titlePg/>
              <w:docGrid w:type="lines" w:linePitch="326" w:charSpace="0"/>
            </w:sectPr>
          </w:pPr>
          <w:r>
            <w:rPr>
              <w:b/>
            </w:rPr>
            <w:fldChar w:fldCharType="end"/>
          </w:r>
        </w:p>
      </w:sdtContent>
    </w:sdt>
    <w:p>
      <w:pPr>
        <w:pStyle w:val="2"/>
        <w:ind w:left="600" w:right="240"/>
        <w:jc w:val="left"/>
      </w:pPr>
      <w:bookmarkStart w:id="1" w:name="_Toc510532191"/>
      <w:bookmarkStart w:id="2" w:name="_Toc24795"/>
      <w:bookmarkStart w:id="3" w:name="_Toc455737806"/>
      <w:r>
        <w:rPr>
          <w:rFonts w:hint="eastAsia"/>
        </w:rPr>
        <w:t>云就业毕业生网签三方协议系统流程图</w:t>
      </w:r>
      <w:bookmarkEnd w:id="1"/>
      <w:bookmarkEnd w:id="2"/>
    </w:p>
    <w:p>
      <w:pPr>
        <w:rPr>
          <w:rFonts w:hint="default" w:eastAsia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请毕业生微信登录“邵阳学院就业创业云平台”--“毕业生”--“个人中心”登录或网站登录“http://syxy.bibibi.net/”点击“学生登录”即可，账号为学号，密码为身份证号后六位。</w:t>
      </w:r>
    </w:p>
    <w:p>
      <w:pPr>
        <w:ind w:left="240" w:right="240"/>
        <w:jc w:val="left"/>
        <w:rPr>
          <w:rFonts w:hint="eastAsia"/>
        </w:rPr>
      </w:pPr>
    </w:p>
    <w:p>
      <w:pPr>
        <w:ind w:left="240" w:right="240"/>
        <w:jc w:val="left"/>
      </w:pPr>
      <w:r>
        <w:rPr>
          <w:rFonts w:hint="eastAsia"/>
        </w:rPr>
        <w:t>图1：场景1单位邀约学生流程图</w:t>
      </w:r>
    </w:p>
    <w:p>
      <w:pPr>
        <w:ind w:left="240" w:right="240"/>
        <w:jc w:val="left"/>
      </w:pPr>
    </w:p>
    <w:p>
      <w:pPr>
        <w:ind w:left="240" w:right="240"/>
        <w:jc w:val="left"/>
      </w:pPr>
      <w:bookmarkStart w:id="18" w:name="_GoBack"/>
      <w:bookmarkEnd w:id="18"/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97155</wp:posOffset>
            </wp:positionV>
            <wp:extent cx="5278120" cy="2868930"/>
            <wp:effectExtent l="0" t="0" r="17780" b="762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240" w:right="240"/>
        <w:jc w:val="left"/>
      </w:pPr>
    </w:p>
    <w:p>
      <w:pPr>
        <w:ind w:left="240" w:right="240"/>
        <w:jc w:val="left"/>
        <w:rPr>
          <w:rFonts w:hint="eastAsia"/>
        </w:rPr>
        <w:sectPr>
          <w:footerReference r:id="rId9" w:type="default"/>
          <w:pgSz w:w="11906" w:h="16838"/>
          <w:pgMar w:top="1440" w:right="1797" w:bottom="1440" w:left="1797" w:header="851" w:footer="992" w:gutter="0"/>
          <w:pgNumType w:fmt="decimalEnclosedCircleChinese" w:start="1"/>
          <w:cols w:space="425" w:num="1"/>
          <w:docGrid w:type="lines" w:linePitch="312" w:charSpace="0"/>
        </w:sect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544195</wp:posOffset>
            </wp:positionV>
            <wp:extent cx="5278120" cy="3484245"/>
            <wp:effectExtent l="0" t="0" r="17780" b="190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图2：场景2学生直接发起签约流程图（学校开放学生发起）</w:t>
      </w:r>
    </w:p>
    <w:p>
      <w:pPr>
        <w:ind w:left="240" w:right="240"/>
        <w:jc w:val="left"/>
      </w:pPr>
      <w:r>
        <w:rPr>
          <w:rFonts w:hint="eastAsia"/>
        </w:rPr>
        <w:t>图2：网上解约流程图</w:t>
      </w:r>
    </w:p>
    <w:p>
      <w:pPr>
        <w:ind w:left="240" w:right="240"/>
        <w:jc w:val="left"/>
      </w:pPr>
    </w:p>
    <w:p>
      <w:pPr>
        <w:ind w:left="240" w:right="240"/>
        <w:jc w:val="left"/>
      </w:pPr>
      <w:r>
        <w:drawing>
          <wp:inline distT="0" distB="0" distL="0" distR="0">
            <wp:extent cx="5278120" cy="3325495"/>
            <wp:effectExtent l="0" t="0" r="1778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600" w:right="240"/>
        <w:jc w:val="left"/>
      </w:pPr>
      <w:bookmarkStart w:id="4" w:name="_Toc30216"/>
      <w:bookmarkStart w:id="5" w:name="_Toc510532193"/>
      <w:bookmarkStart w:id="6" w:name="_Toc510532192"/>
      <w:r>
        <w:rPr>
          <w:rFonts w:hint="eastAsia"/>
        </w:rPr>
        <w:t>生源核查</w:t>
      </w:r>
      <w:bookmarkEnd w:id="4"/>
      <w:bookmarkEnd w:id="5"/>
    </w:p>
    <w:p>
      <w:pPr>
        <w:spacing w:line="360" w:lineRule="auto"/>
        <w:ind w:left="98" w:leftChars="41" w:right="240" w:firstLine="480" w:firstLineChars="200"/>
        <w:jc w:val="left"/>
        <w:rPr>
          <w:rFonts w:cs="Times New Roman" w:asciiTheme="minorEastAsia" w:hAnsiTheme="minorEastAsia"/>
          <w:kern w:val="0"/>
          <w:sz w:val="28"/>
          <w:szCs w:val="28"/>
        </w:rPr>
      </w:pPr>
      <w:bookmarkStart w:id="7" w:name="OLE_LINK11"/>
      <w:r>
        <w:rPr>
          <w:rFonts w:hint="eastAsia"/>
        </w:rPr>
        <w:t>登录成功后，在左侧菜单栏点击“生源</w:t>
      </w:r>
      <w:r>
        <w:rPr>
          <w:rFonts w:hint="eastAsia"/>
          <w:lang w:val="en-US" w:eastAsia="zh-CN"/>
        </w:rPr>
        <w:t>信息</w:t>
      </w:r>
      <w:r>
        <w:rPr>
          <w:rFonts w:hint="eastAsia"/>
        </w:rPr>
        <w:t>”，即可看到个人生源信息，点击开始核验</w:t>
      </w:r>
      <w:r>
        <w:rPr>
          <w:rFonts w:hint="eastAsia" w:asciiTheme="minorEastAsia" w:hAnsiTheme="minorEastAsia"/>
          <w:szCs w:val="24"/>
        </w:rPr>
        <w:t>，</w:t>
      </w:r>
      <w:r>
        <w:rPr>
          <w:rFonts w:cs="宋体" w:asciiTheme="minorEastAsia" w:hAnsiTheme="minorEastAsia"/>
          <w:color w:val="333333"/>
          <w:kern w:val="0"/>
          <w:szCs w:val="24"/>
          <w:shd w:val="clear" w:color="auto" w:fill="FFFFFF"/>
        </w:rPr>
        <w:t>请仔细核对自己的每一条信息，如有错误的地方请进行修改后提交</w:t>
      </w:r>
      <w:r>
        <w:rPr>
          <w:rFonts w:cs="MS Mincho" w:asciiTheme="minorEastAsia" w:hAnsiTheme="minorEastAsia"/>
          <w:color w:val="333333"/>
          <w:kern w:val="0"/>
          <w:szCs w:val="24"/>
          <w:shd w:val="clear" w:color="auto" w:fill="FFFFFF"/>
        </w:rPr>
        <w:t>。</w:t>
      </w:r>
      <w:r>
        <w:rPr>
          <w:rFonts w:hint="eastAsia" w:cs="MS Mincho" w:asciiTheme="minorEastAsia" w:hAnsiTheme="minorEastAsia"/>
          <w:color w:val="333333"/>
          <w:kern w:val="0"/>
          <w:szCs w:val="24"/>
          <w:shd w:val="clear" w:color="auto" w:fill="FFFFFF"/>
        </w:rPr>
        <w:t>生源核查包括：</w:t>
      </w:r>
      <w:r>
        <w:rPr>
          <w:rFonts w:hint="eastAsia"/>
        </w:rPr>
        <w:t>基本信息、联系方式、学籍信息和档案信息，每条都很重要，请仔细核查确认。</w:t>
      </w:r>
    </w:p>
    <w:p>
      <w:pPr>
        <w:spacing w:line="360" w:lineRule="auto"/>
        <w:ind w:left="98" w:leftChars="41" w:right="240"/>
        <w:jc w:val="left"/>
      </w:pPr>
      <w:r>
        <w:drawing>
          <wp:inline distT="0" distB="0" distL="0" distR="0">
            <wp:extent cx="5278120" cy="2945130"/>
            <wp:effectExtent l="0" t="0" r="177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 w:firstLine="480" w:firstLineChars="200"/>
        <w:jc w:val="left"/>
        <w:rPr>
          <w:rFonts w:asciiTheme="minorEastAsia" w:hAnsiTheme="minorEastAsia"/>
          <w:szCs w:val="24"/>
        </w:rPr>
      </w:pPr>
      <w:r>
        <w:rPr>
          <w:rFonts w:hint="eastAsia"/>
        </w:rPr>
        <w:t>生源提交核验后，需要等待学院老师审核，审核通过，才可以进行在线签约业务；</w:t>
      </w:r>
      <w:bookmarkEnd w:id="3"/>
      <w:bookmarkEnd w:id="6"/>
      <w:bookmarkEnd w:id="7"/>
    </w:p>
    <w:p>
      <w:pPr>
        <w:spacing w:line="360" w:lineRule="auto"/>
        <w:ind w:right="240"/>
        <w:jc w:val="left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0"/>
        </w:numPr>
        <w:ind w:leftChars="100" w:right="240" w:rightChars="100"/>
        <w:jc w:val="left"/>
      </w:pPr>
      <w:bookmarkStart w:id="8" w:name="_Toc510532196"/>
      <w:bookmarkStart w:id="9" w:name="_Toc2471"/>
      <w:r>
        <w:rPr>
          <w:rFonts w:hint="eastAsia"/>
          <w:lang w:val="en-US" w:eastAsia="zh-CN"/>
        </w:rPr>
        <w:t>3.</w:t>
      </w:r>
      <w:r>
        <w:rPr>
          <w:rFonts w:hint="eastAsia"/>
        </w:rPr>
        <w:t>三方协议</w:t>
      </w:r>
      <w:bookmarkEnd w:id="8"/>
      <w:bookmarkEnd w:id="9"/>
    </w:p>
    <w:p>
      <w:pPr>
        <w:pStyle w:val="3"/>
        <w:ind w:left="240" w:right="240"/>
        <w:jc w:val="left"/>
      </w:pPr>
      <w:bookmarkStart w:id="10" w:name="_Toc25991"/>
      <w:bookmarkStart w:id="11" w:name="_Toc510532197"/>
      <w:r>
        <w:rPr>
          <w:rFonts w:hint="eastAsia"/>
          <w:lang w:val="en-US" w:eastAsia="zh-CN"/>
        </w:rPr>
        <w:t>3</w:t>
      </w:r>
      <w:r>
        <w:rPr>
          <w:rFonts w:hint="eastAsia"/>
        </w:rPr>
        <w:t>.1邀约消息通知</w:t>
      </w:r>
      <w:bookmarkEnd w:id="10"/>
      <w:bookmarkEnd w:id="11"/>
    </w:p>
    <w:p>
      <w:pPr>
        <w:spacing w:line="360" w:lineRule="auto"/>
        <w:ind w:left="240" w:right="240" w:firstLine="480" w:firstLineChars="200"/>
        <w:jc w:val="left"/>
      </w:pPr>
      <w:r>
        <w:rPr>
          <w:rFonts w:hint="eastAsia"/>
        </w:rPr>
        <w:t>当用人单位向学生发起邀约之后，系统会自动向学生的微信发送邀约通知，通知学生已有用人单位对您发起邀约，请尽快登录就业信息网学生信息管理后台处理。详细内容如下图所示。</w:t>
      </w:r>
    </w:p>
    <w:p>
      <w:pPr>
        <w:spacing w:line="360" w:lineRule="auto"/>
        <w:ind w:left="98" w:leftChars="41" w:right="240"/>
        <w:jc w:val="center"/>
      </w:pPr>
      <w:r>
        <w:rPr>
          <w:rFonts w:hint="eastAsia"/>
        </w:rPr>
        <w:drawing>
          <wp:inline distT="0" distB="0" distL="0" distR="0">
            <wp:extent cx="3350895" cy="4858385"/>
            <wp:effectExtent l="0" t="0" r="1905" b="18415"/>
            <wp:docPr id="29" name="图片 29" descr="../../Library/Containers/com.tencent.xinWeChat/Data/Library/Application%20Support/com.tencent.xinWeChat/2.0b4.0.9/7c0e381ddee1dad5c28c6e4989e152a7/Message/MessageTemp/9e20f478899dc29eb19741386f9343c8/Image/4891522737481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../../Library/Containers/com.tencent.xinWeChat/Data/Library/Application%20Support/com.tencent.xinWeChat/2.0b4.0.9/7c0e381ddee1dad5c28c6e4989e152a7/Message/MessageTemp/9e20f478899dc29eb19741386f9343c8/Image/4891522737481_.pi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240" w:right="240"/>
        <w:jc w:val="left"/>
      </w:pPr>
      <w:bookmarkStart w:id="12" w:name="_Toc7455"/>
      <w:bookmarkStart w:id="13" w:name="_Toc510532198"/>
      <w:r>
        <w:rPr>
          <w:rFonts w:hint="eastAsia"/>
          <w:lang w:val="en-US" w:eastAsia="zh-CN"/>
        </w:rPr>
        <w:t>3</w:t>
      </w:r>
      <w:r>
        <w:rPr>
          <w:rFonts w:hint="eastAsia"/>
        </w:rPr>
        <w:t>.2三方协议管理</w:t>
      </w:r>
      <w:bookmarkEnd w:id="12"/>
      <w:bookmarkEnd w:id="13"/>
    </w:p>
    <w:p>
      <w:pPr>
        <w:numPr>
          <w:ilvl w:val="0"/>
          <w:numId w:val="2"/>
        </w:numPr>
        <w:spacing w:line="360" w:lineRule="auto"/>
        <w:ind w:left="98" w:leftChars="41" w:right="240" w:firstLine="480"/>
        <w:jc w:val="left"/>
        <w:rPr>
          <w:rFonts w:hint="eastAsia"/>
        </w:rPr>
      </w:pPr>
      <w:r>
        <w:rPr>
          <w:rFonts w:hint="eastAsia"/>
        </w:rPr>
        <w:t>学生登录学生信息管理后台，然后点击“三方协议”，即可看到用人单位发给自己的邀约信息。如下图所示，点击</w:t>
      </w:r>
      <w:r>
        <w:t>“</w:t>
      </w:r>
      <w:r>
        <w:rPr>
          <w:rFonts w:hint="eastAsia"/>
        </w:rPr>
        <w:t>详情</w:t>
      </w:r>
      <w:r>
        <w:t>”</w:t>
      </w:r>
      <w:r>
        <w:rPr>
          <w:rFonts w:hint="eastAsia"/>
        </w:rPr>
        <w:t>，既可以查看用人单位的邀约详情，并可在邀约详情页面进行“应约操作”。如果有不正确的信息，可以选择打回，并填写打回原因。</w:t>
      </w:r>
    </w:p>
    <w:p>
      <w:pPr>
        <w:spacing w:line="360" w:lineRule="auto"/>
        <w:ind w:left="240" w:right="240" w:firstLine="480"/>
        <w:jc w:val="left"/>
        <w:rPr>
          <w:rFonts w:asciiTheme="minorEastAsia" w:hAnsiTheme="minorEastAsia"/>
          <w:szCs w:val="24"/>
        </w:rPr>
      </w:pPr>
      <w:r>
        <w:rPr>
          <w:rFonts w:hint="eastAsia" w:asciiTheme="minorEastAsia" w:hAnsiTheme="minorEastAsia"/>
          <w:szCs w:val="24"/>
        </w:rPr>
        <w:t>方式1：登录学校就业信息网→点击学生登录→点击三方协议，可直接进入网签三方协议。</w:t>
      </w:r>
    </w:p>
    <w:p>
      <w:pPr>
        <w:spacing w:line="360" w:lineRule="auto"/>
        <w:ind w:left="240" w:right="240" w:firstLine="48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drawing>
          <wp:inline distT="0" distB="0" distL="0" distR="0">
            <wp:extent cx="4040505" cy="1583055"/>
            <wp:effectExtent l="0" t="0" r="17145" b="171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050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/>
        <w:jc w:val="left"/>
        <w:rPr>
          <w:rFonts w:asciiTheme="minorEastAsia" w:hAnsiTheme="minorEastAsia"/>
          <w:szCs w:val="24"/>
        </w:rPr>
      </w:pPr>
    </w:p>
    <w:p>
      <w:pPr>
        <w:spacing w:line="360" w:lineRule="auto"/>
        <w:ind w:left="0" w:leftChars="0" w:right="240"/>
        <w:jc w:val="left"/>
        <w:rPr>
          <w:rFonts w:asciiTheme="minorEastAsia" w:hAnsiTheme="minorEastAsia"/>
          <w:szCs w:val="24"/>
        </w:rPr>
      </w:pPr>
    </w:p>
    <w:p>
      <w:pPr>
        <w:numPr>
          <w:ilvl w:val="0"/>
          <w:numId w:val="0"/>
        </w:numPr>
        <w:spacing w:line="360" w:lineRule="auto"/>
        <w:ind w:leftChars="41" w:right="240" w:rightChars="100"/>
        <w:jc w:val="center"/>
        <w:rPr>
          <w:rFonts w:hint="eastAsia"/>
        </w:rPr>
      </w:pPr>
      <w:r>
        <w:rPr>
          <w:rFonts w:asciiTheme="minorEastAsia" w:hAnsiTheme="minorEastAsia"/>
          <w:szCs w:val="24"/>
        </w:rPr>
        <w:drawing>
          <wp:inline distT="0" distB="0" distL="0" distR="0">
            <wp:extent cx="2651125" cy="2578100"/>
            <wp:effectExtent l="0" t="0" r="15875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41" w:right="240" w:rightChars="100"/>
        <w:jc w:val="left"/>
        <w:rPr>
          <w:rFonts w:hint="eastAsia"/>
        </w:rPr>
      </w:pPr>
    </w:p>
    <w:p>
      <w:pPr>
        <w:spacing w:line="360" w:lineRule="auto"/>
        <w:ind w:left="98" w:leftChars="41" w:right="240"/>
        <w:jc w:val="left"/>
      </w:pPr>
      <w:r>
        <w:drawing>
          <wp:inline distT="0" distB="0" distL="0" distR="0">
            <wp:extent cx="5278120" cy="1150620"/>
            <wp:effectExtent l="0" t="0" r="508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/>
        <w:jc w:val="center"/>
      </w:pPr>
      <w:r>
        <w:drawing>
          <wp:inline distT="0" distB="0" distL="0" distR="0">
            <wp:extent cx="5278120" cy="331406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/>
        <w:jc w:val="center"/>
      </w:pPr>
      <w:r>
        <w:drawing>
          <wp:inline distT="0" distB="0" distL="0" distR="0">
            <wp:extent cx="3822700" cy="2933700"/>
            <wp:effectExtent l="0" t="0" r="12700" b="1270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/>
        <w:jc w:val="center"/>
      </w:pPr>
      <w:r>
        <w:drawing>
          <wp:inline distT="0" distB="0" distL="0" distR="0">
            <wp:extent cx="3035300" cy="3759200"/>
            <wp:effectExtent l="0" t="0" r="1270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 w:firstLine="720" w:firstLineChars="300"/>
        <w:jc w:val="left"/>
      </w:pPr>
      <w:r>
        <w:rPr>
          <w:rFonts w:hint="eastAsia"/>
        </w:rPr>
        <w:t>（2）在应约详情页面进行应约操作时，需注意事项：</w:t>
      </w:r>
    </w:p>
    <w:p>
      <w:pPr>
        <w:spacing w:line="360" w:lineRule="auto"/>
        <w:ind w:left="98" w:leftChars="41" w:right="240"/>
        <w:jc w:val="left"/>
      </w:pPr>
    </w:p>
    <w:p>
      <w:pPr>
        <w:pStyle w:val="30"/>
        <w:numPr>
          <w:ilvl w:val="0"/>
          <w:numId w:val="3"/>
        </w:numPr>
        <w:spacing w:line="360" w:lineRule="auto"/>
        <w:ind w:leftChars="0" w:right="240" w:firstLineChars="0"/>
        <w:jc w:val="left"/>
      </w:pPr>
      <w:r>
        <w:rPr>
          <w:rFonts w:hint="eastAsia"/>
        </w:rPr>
        <w:t>请仔细确认每个部分：工作信息、单位信息、报到证档案以及户口信息是否正确，如不正确，请打回并填写原因，告知单位HR修改后，再发起。</w:t>
      </w:r>
      <w:r>
        <w:t xml:space="preserve"> </w:t>
      </w:r>
    </w:p>
    <w:p>
      <w:pPr>
        <w:pStyle w:val="30"/>
        <w:numPr>
          <w:ilvl w:val="0"/>
          <w:numId w:val="3"/>
        </w:numPr>
        <w:spacing w:line="360" w:lineRule="auto"/>
        <w:ind w:leftChars="0" w:right="240" w:firstLineChars="0"/>
        <w:jc w:val="left"/>
      </w:pPr>
      <w:r>
        <w:rPr>
          <w:rFonts w:hint="eastAsia"/>
        </w:rPr>
        <w:t>应约操作——确认其他信息后，应约则点击“应约”按钮。不应约则不进行操作，14天后该邀约信息自动失效。</w:t>
      </w:r>
    </w:p>
    <w:p>
      <w:pPr>
        <w:spacing w:line="360" w:lineRule="auto"/>
        <w:ind w:left="98" w:leftChars="41" w:right="240" w:firstLine="720" w:firstLineChars="300"/>
        <w:jc w:val="left"/>
        <w:rPr>
          <w:rFonts w:hint="eastAsia"/>
        </w:rPr>
      </w:pPr>
      <w:r>
        <w:rPr>
          <w:rFonts w:hint="eastAsia"/>
        </w:rPr>
        <w:t>（3）学生发起签约说明</w:t>
      </w:r>
    </w:p>
    <w:p>
      <w:pPr>
        <w:spacing w:line="360" w:lineRule="auto"/>
        <w:ind w:left="98" w:leftChars="41" w:right="240" w:firstLine="465"/>
        <w:jc w:val="left"/>
        <w:rPr>
          <w:rFonts w:hint="eastAsia"/>
        </w:rPr>
      </w:pPr>
      <w:r>
        <w:rPr>
          <w:rFonts w:hint="eastAsia"/>
        </w:rPr>
        <w:t>当学校后台设置，允许学生直接发起签约申请时，学生可以直接提供就业证明材料，发起签约申请，签约信息由学院老师直接审核：</w:t>
      </w:r>
    </w:p>
    <w:p>
      <w:pPr>
        <w:spacing w:line="360" w:lineRule="auto"/>
        <w:ind w:left="98" w:leftChars="41" w:right="240" w:firstLine="465"/>
        <w:jc w:val="left"/>
        <w:rPr>
          <w:rFonts w:hint="eastAsia"/>
        </w:rPr>
      </w:pPr>
      <w:r>
        <w:drawing>
          <wp:inline distT="0" distB="0" distL="0" distR="0">
            <wp:extent cx="5278120" cy="9563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 w:firstLine="465"/>
        <w:jc w:val="left"/>
        <w:rPr>
          <w:rFonts w:hint="eastAsia"/>
        </w:rPr>
      </w:pPr>
      <w:r>
        <w:drawing>
          <wp:inline distT="0" distB="0" distL="0" distR="0">
            <wp:extent cx="5278120" cy="29286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 w:firstLine="465"/>
        <w:jc w:val="left"/>
        <w:rPr>
          <w:rFonts w:hint="eastAsia"/>
        </w:rPr>
      </w:pPr>
      <w:r>
        <w:drawing>
          <wp:inline distT="0" distB="0" distL="0" distR="0">
            <wp:extent cx="5278120" cy="26993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 w:firstLine="465"/>
        <w:jc w:val="left"/>
        <w:rPr>
          <w:rFonts w:hint="eastAsia"/>
          <w:color w:val="ED7D31" w:themeColor="accent2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ED7D31" w:themeColor="accent2"/>
          <w14:textFill>
            <w14:solidFill>
              <w14:schemeClr w14:val="accent2"/>
            </w14:solidFill>
          </w14:textFill>
        </w:rPr>
        <w:t>备注：单位名称支持，下拉猜想，如果带“云”标识当前单位是学校库里面的单位，可以直接选择。如果，不是目标单位需要学生，逐一填写单位的详细信息。</w:t>
      </w:r>
    </w:p>
    <w:p>
      <w:pPr>
        <w:spacing w:line="360" w:lineRule="auto"/>
        <w:ind w:left="240" w:right="240" w:firstLine="480" w:firstLineChars="200"/>
        <w:jc w:val="left"/>
        <w:rPr>
          <w:rFonts w:hint="eastAsia" w:asciiTheme="minorEastAsia" w:hAnsiTheme="minorEastAsia"/>
          <w:szCs w:val="24"/>
          <w:lang w:val="en-US" w:eastAsia="zh-CN"/>
        </w:rPr>
      </w:pPr>
      <w:r>
        <w:rPr>
          <w:rFonts w:hint="eastAsia" w:asciiTheme="minorEastAsia" w:hAnsiTheme="minorEastAsia"/>
          <w:szCs w:val="24"/>
        </w:rPr>
        <w:t>方式</w:t>
      </w:r>
      <w:r>
        <w:rPr>
          <w:rFonts w:hint="eastAsia" w:asciiTheme="minorEastAsia" w:hAnsiTheme="minorEastAsia"/>
          <w:szCs w:val="24"/>
          <w:lang w:val="en-US" w:eastAsia="zh-CN"/>
        </w:rPr>
        <w:t>2</w:t>
      </w:r>
      <w:r>
        <w:rPr>
          <w:rFonts w:hint="eastAsia" w:asciiTheme="minorEastAsia" w:hAnsiTheme="minorEastAsia"/>
          <w:szCs w:val="24"/>
        </w:rPr>
        <w:t>：</w:t>
      </w:r>
      <w:r>
        <w:rPr>
          <w:rFonts w:hint="eastAsia" w:asciiTheme="minorEastAsia" w:hAnsiTheme="minorEastAsia"/>
          <w:szCs w:val="24"/>
          <w:lang w:val="en-US" w:eastAsia="zh-CN"/>
        </w:rPr>
        <w:t>找到学校的就业公众号》点击个人中心》三方协议并》查看签约详情》发起签约》编辑》保存》发起</w:t>
      </w:r>
    </w:p>
    <w:p>
      <w:pPr>
        <w:spacing w:line="360" w:lineRule="auto"/>
        <w:ind w:right="240"/>
        <w:jc w:val="left"/>
      </w:pPr>
      <w:r>
        <w:drawing>
          <wp:inline distT="0" distB="0" distL="114300" distR="114300">
            <wp:extent cx="1708150" cy="2917190"/>
            <wp:effectExtent l="0" t="0" r="6350" b="165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8130" cy="2958465"/>
            <wp:effectExtent l="0" t="0" r="13970" b="133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5440" cy="2957830"/>
            <wp:effectExtent l="0" t="0" r="3810" b="1397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40"/>
        <w:jc w:val="left"/>
        <w:rPr>
          <w:rFonts w:hint="eastAsia"/>
          <w:color w:val="ED7D31" w:themeColor="accent2"/>
          <w14:textFill>
            <w14:solidFill>
              <w14:schemeClr w14:val="accent2"/>
            </w14:solidFill>
          </w14:textFill>
        </w:rPr>
      </w:pPr>
      <w:r>
        <w:drawing>
          <wp:inline distT="0" distB="0" distL="114300" distR="114300">
            <wp:extent cx="1196975" cy="2697480"/>
            <wp:effectExtent l="0" t="0" r="3175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95070" cy="2729865"/>
            <wp:effectExtent l="0" t="0" r="5080" b="1333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45540" cy="2724785"/>
            <wp:effectExtent l="0" t="0" r="16510" b="1841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16025" cy="2776220"/>
            <wp:effectExtent l="0" t="0" r="3175" b="508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240" w:right="240"/>
        <w:jc w:val="left"/>
      </w:pPr>
      <w:bookmarkStart w:id="14" w:name="_Toc9821"/>
      <w:bookmarkStart w:id="15" w:name="_Toc510532199"/>
      <w:r>
        <w:rPr>
          <w:rFonts w:hint="eastAsia"/>
        </w:rPr>
        <w:t>4.3就业协议打印</w:t>
      </w:r>
      <w:bookmarkEnd w:id="14"/>
      <w:bookmarkEnd w:id="15"/>
    </w:p>
    <w:p>
      <w:pPr>
        <w:spacing w:line="360" w:lineRule="auto"/>
        <w:ind w:left="98" w:leftChars="41" w:right="240" w:firstLine="465"/>
        <w:jc w:val="left"/>
      </w:pPr>
      <w:r>
        <w:rPr>
          <w:rFonts w:hint="eastAsia"/>
        </w:rPr>
        <w:t>当学生应约后，等待院系管理员审核和校级管理员审核，院系和校级审核通过后，则签约成功。当院系和校级审核完毕后，系统会自动发送微信通知，告知学生签约成功。</w:t>
      </w:r>
    </w:p>
    <w:p>
      <w:pPr>
        <w:spacing w:line="360" w:lineRule="auto"/>
        <w:ind w:left="98" w:leftChars="41" w:right="240" w:firstLine="465"/>
        <w:jc w:val="left"/>
      </w:pPr>
      <w:r>
        <w:rPr>
          <w:rFonts w:hint="eastAsia"/>
        </w:rPr>
        <w:drawing>
          <wp:inline distT="0" distB="0" distL="0" distR="0">
            <wp:extent cx="3415030" cy="6080760"/>
            <wp:effectExtent l="0" t="0" r="0" b="0"/>
            <wp:docPr id="35" name="图片 35" descr="../../Library/Containers/com.tencent.xinWeChat/Data/Library/Application%20Support/com.tencent.xinWeChat/2.0b4.0.9/7c0e381ddee1dad5c28c6e4989e152a7/Message/MessageTemp/9e20f478899dc29eb19741386f9343c8/Image/4901522739443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../../Library/Containers/com.tencent.xinWeChat/Data/Library/Application%20Support/com.tencent.xinWeChat/2.0b4.0.9/7c0e381ddee1dad5c28c6e4989e152a7/Message/MessageTemp/9e20f478899dc29eb19741386f9343c8/Image/4901522739443_.pic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4970" cy="609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 w:firstLine="465"/>
        <w:jc w:val="left"/>
      </w:pPr>
      <w:r>
        <w:rPr>
          <w:rFonts w:hint="eastAsia"/>
        </w:rPr>
        <w:t>此时，学生即可以登录网上签约系统，在三方协议管理中，点击“我的协议书”=》“打印”按钮，进行打印。（备注：学校在就业处通常会设有学生自助打印室，方便学生进行自助打印。）</w:t>
      </w:r>
    </w:p>
    <w:p>
      <w:pPr>
        <w:spacing w:line="360" w:lineRule="auto"/>
        <w:ind w:left="98" w:leftChars="41" w:right="240" w:firstLine="465"/>
        <w:jc w:val="left"/>
      </w:pPr>
      <w:r>
        <w:drawing>
          <wp:inline distT="0" distB="0" distL="0" distR="0">
            <wp:extent cx="5278120" cy="333121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 w:firstLine="465"/>
        <w:jc w:val="left"/>
      </w:pPr>
      <w:r>
        <w:rPr>
          <w:rFonts w:hint="eastAsia"/>
        </w:rPr>
        <w:t>温馨提示：毕业生就业协议备案表，打印需一式四份。请在打印时，进行打印份数预设。</w:t>
      </w:r>
    </w:p>
    <w:p>
      <w:pPr>
        <w:spacing w:line="360" w:lineRule="auto"/>
        <w:ind w:left="98" w:leftChars="41" w:right="240" w:firstLine="465"/>
        <w:jc w:val="left"/>
      </w:pPr>
      <w:r>
        <w:drawing>
          <wp:inline distT="0" distB="0" distL="0" distR="0">
            <wp:extent cx="4572000" cy="4635500"/>
            <wp:effectExtent l="0" t="0" r="0" b="1270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100" w:right="240" w:rightChars="100"/>
        <w:jc w:val="left"/>
      </w:pPr>
      <w:bookmarkStart w:id="16" w:name="_Toc510532200"/>
      <w:bookmarkStart w:id="17" w:name="_Toc1409"/>
      <w:r>
        <w:rPr>
          <w:rFonts w:hint="eastAsia"/>
          <w:lang w:val="en-US" w:eastAsia="zh-CN"/>
        </w:rPr>
        <w:t>4.</w:t>
      </w:r>
      <w:r>
        <w:rPr>
          <w:rFonts w:hint="eastAsia"/>
        </w:rPr>
        <w:t>申请解约</w:t>
      </w:r>
      <w:bookmarkEnd w:id="16"/>
      <w:bookmarkEnd w:id="17"/>
    </w:p>
    <w:p>
      <w:pPr>
        <w:spacing w:line="360" w:lineRule="auto"/>
        <w:ind w:left="98" w:leftChars="41" w:right="240"/>
        <w:jc w:val="left"/>
      </w:pPr>
      <w:r>
        <w:rPr>
          <w:rFonts w:hint="eastAsia"/>
        </w:rPr>
        <w:t xml:space="preserve">      当学生签约成功后，需要进行解约操作时。在学生管理后台点击“申请解约”即可进入解约申请页面（具体需要根据学校后台设置，是否开放学生解约申请，和设置的学生解约流程指引说明）。在解约申请页面，上传相关解约证明图片和解约申请说明，然后点击“提交”按钮进行“申请解约操作”。</w:t>
      </w:r>
    </w:p>
    <w:p>
      <w:pPr>
        <w:spacing w:line="360" w:lineRule="auto"/>
        <w:ind w:left="98" w:leftChars="41" w:right="240"/>
        <w:jc w:val="left"/>
      </w:pPr>
      <w:r>
        <w:drawing>
          <wp:inline distT="0" distB="0" distL="0" distR="0">
            <wp:extent cx="5278120" cy="323913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/>
        <w:jc w:val="left"/>
      </w:pPr>
      <w:r>
        <w:drawing>
          <wp:inline distT="0" distB="0" distL="0" distR="0">
            <wp:extent cx="5278120" cy="344043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8" w:leftChars="41" w:right="240" w:firstLine="465"/>
        <w:jc w:val="left"/>
      </w:pPr>
      <w:r>
        <w:rPr>
          <w:rFonts w:hint="eastAsia"/>
        </w:rPr>
        <w:t>温馨提示：学生仅有一次解约机会，当解约成功后，30个工作日后才能重新应约。当学生申请解约成功后，需要等待学校（通常是就业指导中心）管理员审核，管理员审核通过后，方解约成功。</w:t>
      </w:r>
    </w:p>
    <w:sectPr>
      <w:footerReference r:id="rId10" w:type="default"/>
      <w:pgSz w:w="11906" w:h="16838"/>
      <w:pgMar w:top="1440" w:right="1797" w:bottom="1440" w:left="1797" w:header="851" w:footer="992" w:gutter="0"/>
      <w:pgNumType w:fmt="decimalEnclosedCircleChinese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MS Mincho">
    <w:panose1 w:val="02020609040205080304"/>
    <w:charset w:val="80"/>
    <w:family w:val="auto"/>
    <w:pitch w:val="default"/>
    <w:sig w:usb0="A00002BF" w:usb1="68C7FCFB" w:usb2="00000010" w:usb3="00000000" w:csb0="4002009F" w:csb1="DFD7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077342"/>
      <w:docPartObj>
        <w:docPartGallery w:val="autotext"/>
      </w:docPartObj>
    </w:sdtPr>
    <w:sdtContent>
      <w:p>
        <w:pPr>
          <w:pStyle w:val="11"/>
          <w:ind w:left="240" w:right="240"/>
          <w:jc w:val="center"/>
        </w:pPr>
        <w:r>
          <w:drawing>
            <wp:inline distT="0" distB="0" distL="0" distR="0">
              <wp:extent cx="5278120" cy="124460"/>
              <wp:effectExtent l="0" t="0" r="0" b="0"/>
              <wp:docPr id="2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图片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8120" cy="1244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240" w:right="24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240" w:right="24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0" w:leftChars="0" w:right="240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2377440</wp:posOffset>
              </wp:positionH>
              <wp:positionV relativeFrom="paragraph">
                <wp:posOffset>80645</wp:posOffset>
              </wp:positionV>
              <wp:extent cx="1073785" cy="152400"/>
              <wp:effectExtent l="0" t="0" r="0" b="0"/>
              <wp:wrapNone/>
              <wp:docPr id="18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ind w:left="98" w:leftChars="41" w:right="24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www.bysjy.com.cn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4" o:spid="_x0000_s1026" o:spt="202" type="#_x0000_t202" style="position:absolute;left:0pt;margin-left:187.2pt;margin-top:6.35pt;height:12pt;width:84.55pt;mso-position-horizontal-relative:margin;mso-wrap-style:none;z-index:251658240;mso-width-relative:page;mso-height-relative:page;" filled="f" stroked="f" coordsize="21600,21600" o:gfxdata="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twLw01gAAAAkBAAAPAAAA&#10;AAAAAAEAIAAAACIAAABkcnMvZG93bnJldi54bWxQSwECFAAUAAAACACHTuJAkJhxfBcCAAAXBAAA&#10;DgAAAAAAAAABACAAAAAlAQAAZHJzL2Uyb0RvYy54bWxQSwUGAAAAAAYABgBZAQAAr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left="98" w:leftChars="41" w:right="24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www.bysjy.com.cn</w:t>
                    </w:r>
                  </w:p>
                </w:txbxContent>
              </v:textbox>
            </v:shape>
          </w:pict>
        </mc:Fallback>
      </mc:AlternateContent>
    </w:r>
    <w:r>
      <w:rPr>
        <w:color w:val="FFFFFF" w:themeColor="background1"/>
        <w14:textFill>
          <w14:solidFill>
            <w14:schemeClr w14:val="bg1"/>
          </w14:solidFill>
        </w14:textFill>
      </w:rPr>
      <w:drawing>
        <wp:inline distT="0" distB="0" distL="0" distR="0">
          <wp:extent cx="5278120" cy="124460"/>
          <wp:effectExtent l="0" t="0" r="0" b="0"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8120" cy="124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0" w:leftChars="0" w:right="24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KyQwk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yskMJ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2377440</wp:posOffset>
              </wp:positionH>
              <wp:positionV relativeFrom="paragraph">
                <wp:posOffset>80645</wp:posOffset>
              </wp:positionV>
              <wp:extent cx="1073785" cy="152400"/>
              <wp:effectExtent l="0" t="0" r="0" b="0"/>
              <wp:wrapNone/>
              <wp:docPr id="22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ind w:left="98" w:leftChars="41" w:right="24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www.bysjy.com.cn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4" o:spid="_x0000_s1026" o:spt="202" type="#_x0000_t202" style="position:absolute;left:0pt;margin-left:187.2pt;margin-top:6.35pt;height:12pt;width:84.55pt;mso-position-horizontal-relative:margin;mso-wrap-style:none;z-index:251660288;mso-width-relative:page;mso-height-relative:page;" filled="f" stroked="f" coordsize="21600,21600" o:gfxdata="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7cC8NNYAAAAJAQAADwAA&#10;AAAAAAABACAAAAAiAAAAZHJzL2Rvd25yZXYueG1sUEsBAhQAFAAAAAgAh07iQD98o78YAgAAFwQA&#10;AA4AAAAAAAAAAQAgAAAAJQEAAGRycy9lMm9Eb2MueG1sUEsFBgAAAAAGAAYAWQEAAK8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left="98" w:leftChars="41" w:right="24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www.bysjy.com.cn</w:t>
                    </w:r>
                  </w:p>
                </w:txbxContent>
              </v:textbox>
            </v:shape>
          </w:pict>
        </mc:Fallback>
      </mc:AlternateContent>
    </w:r>
    <w:r>
      <w:rPr>
        <w:color w:val="FFFFFF" w:themeColor="background1"/>
        <w14:textFill>
          <w14:solidFill>
            <w14:schemeClr w14:val="bg1"/>
          </w14:solidFill>
        </w14:textFill>
      </w:rPr>
      <w:drawing>
        <wp:inline distT="0" distB="0" distL="0" distR="0">
          <wp:extent cx="5278120" cy="124460"/>
          <wp:effectExtent l="0" t="0" r="17780" b="8890"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8120" cy="124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left="240" w:right="240"/>
    </w:pPr>
    <w:r>
      <w:rPr>
        <w:rFonts w:hint="eastAsia"/>
      </w:rPr>
      <w:t>云就业毕业生网签三方协议系统-beta版</w:t>
    </w:r>
    <w:r>
      <w:t>操作手册</w:t>
    </w:r>
    <w:r>
      <w:rPr>
        <w:rFonts w:hint="eastAsia"/>
      </w:rPr>
      <w:t>（学生版）</w:t>
    </w:r>
  </w:p>
  <w:p>
    <w:pPr>
      <w:pStyle w:val="12"/>
      <w:ind w:left="240" w:right="2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240" w:right="2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240" w:right="240"/>
    </w:pPr>
    <w:r>
      <w:drawing>
        <wp:inline distT="0" distB="0" distL="0" distR="0">
          <wp:extent cx="1460500" cy="381000"/>
          <wp:effectExtent l="0" t="0" r="1270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0500" cy="381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310B2"/>
    <w:multiLevelType w:val="multilevel"/>
    <w:tmpl w:val="33B310B2"/>
    <w:lvl w:ilvl="0" w:tentative="0">
      <w:start w:val="1"/>
      <w:numFmt w:val="decimal"/>
      <w:pStyle w:val="2"/>
      <w:lvlText w:val="%1."/>
      <w:lvlJc w:val="left"/>
      <w:pPr>
        <w:ind w:left="360" w:hanging="360"/>
      </w:pPr>
      <w:rPr>
        <w:rFonts w:hint="eastAsia" w:eastAsia="黑体"/>
        <w:b w:val="0"/>
        <w:i w:val="0"/>
        <w:sz w:val="32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">
    <w:nsid w:val="42877F76"/>
    <w:multiLevelType w:val="multilevel"/>
    <w:tmpl w:val="42877F76"/>
    <w:lvl w:ilvl="0" w:tentative="0">
      <w:start w:val="1"/>
      <w:numFmt w:val="bullet"/>
      <w:lvlText w:val=""/>
      <w:lvlJc w:val="left"/>
      <w:pPr>
        <w:ind w:left="998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18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38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58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78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98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18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38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58" w:hanging="420"/>
      </w:pPr>
      <w:rPr>
        <w:rFonts w:hint="default" w:ascii="Wingdings" w:hAnsi="Wingdings"/>
      </w:rPr>
    </w:lvl>
  </w:abstractNum>
  <w:abstractNum w:abstractNumId="2">
    <w:nsid w:val="79046F4A"/>
    <w:multiLevelType w:val="singleLevel"/>
    <w:tmpl w:val="79046F4A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730"/>
    <w:rsid w:val="000028C0"/>
    <w:rsid w:val="00052390"/>
    <w:rsid w:val="00065FE9"/>
    <w:rsid w:val="0007139D"/>
    <w:rsid w:val="00073F66"/>
    <w:rsid w:val="000A02C4"/>
    <w:rsid w:val="000B0EE6"/>
    <w:rsid w:val="000B4147"/>
    <w:rsid w:val="000C054B"/>
    <w:rsid w:val="000C0C31"/>
    <w:rsid w:val="000D0ED4"/>
    <w:rsid w:val="000D586A"/>
    <w:rsid w:val="00106D9F"/>
    <w:rsid w:val="00120DBA"/>
    <w:rsid w:val="001400E6"/>
    <w:rsid w:val="00152B89"/>
    <w:rsid w:val="001743F4"/>
    <w:rsid w:val="0018031A"/>
    <w:rsid w:val="0018110D"/>
    <w:rsid w:val="001B70FD"/>
    <w:rsid w:val="001C40D7"/>
    <w:rsid w:val="001D1BA3"/>
    <w:rsid w:val="0020655C"/>
    <w:rsid w:val="002228F7"/>
    <w:rsid w:val="002245BC"/>
    <w:rsid w:val="00250D43"/>
    <w:rsid w:val="00255169"/>
    <w:rsid w:val="0025661C"/>
    <w:rsid w:val="00275145"/>
    <w:rsid w:val="0027613D"/>
    <w:rsid w:val="00283B3E"/>
    <w:rsid w:val="002B114B"/>
    <w:rsid w:val="002B7BF9"/>
    <w:rsid w:val="002D0389"/>
    <w:rsid w:val="003049F9"/>
    <w:rsid w:val="00316B3A"/>
    <w:rsid w:val="003213DF"/>
    <w:rsid w:val="00350E5E"/>
    <w:rsid w:val="00355C6F"/>
    <w:rsid w:val="00357FBE"/>
    <w:rsid w:val="003801B4"/>
    <w:rsid w:val="00383DEE"/>
    <w:rsid w:val="003A1315"/>
    <w:rsid w:val="003A3D23"/>
    <w:rsid w:val="003D05AA"/>
    <w:rsid w:val="003D74E6"/>
    <w:rsid w:val="003E0AE7"/>
    <w:rsid w:val="00401268"/>
    <w:rsid w:val="00414D3D"/>
    <w:rsid w:val="00417DC6"/>
    <w:rsid w:val="00420B98"/>
    <w:rsid w:val="00457CD5"/>
    <w:rsid w:val="004772CA"/>
    <w:rsid w:val="00486324"/>
    <w:rsid w:val="004C09DD"/>
    <w:rsid w:val="004E2D75"/>
    <w:rsid w:val="00503694"/>
    <w:rsid w:val="00511902"/>
    <w:rsid w:val="00511FBC"/>
    <w:rsid w:val="005251C2"/>
    <w:rsid w:val="00530502"/>
    <w:rsid w:val="00540B11"/>
    <w:rsid w:val="00551FD2"/>
    <w:rsid w:val="005545CA"/>
    <w:rsid w:val="00563E65"/>
    <w:rsid w:val="0057289A"/>
    <w:rsid w:val="00584E64"/>
    <w:rsid w:val="00594276"/>
    <w:rsid w:val="005A7FF2"/>
    <w:rsid w:val="005B7C07"/>
    <w:rsid w:val="005C3C93"/>
    <w:rsid w:val="005C4F49"/>
    <w:rsid w:val="005D00DE"/>
    <w:rsid w:val="005E63B9"/>
    <w:rsid w:val="00611F29"/>
    <w:rsid w:val="006204F4"/>
    <w:rsid w:val="00621E28"/>
    <w:rsid w:val="00654F71"/>
    <w:rsid w:val="00694D8B"/>
    <w:rsid w:val="006C5730"/>
    <w:rsid w:val="006D6EBF"/>
    <w:rsid w:val="006F0A17"/>
    <w:rsid w:val="006F1295"/>
    <w:rsid w:val="006F61CF"/>
    <w:rsid w:val="0071058F"/>
    <w:rsid w:val="00752A88"/>
    <w:rsid w:val="007801FD"/>
    <w:rsid w:val="00784424"/>
    <w:rsid w:val="007955BD"/>
    <w:rsid w:val="007A165B"/>
    <w:rsid w:val="007B7BAC"/>
    <w:rsid w:val="007D13C1"/>
    <w:rsid w:val="007E0190"/>
    <w:rsid w:val="007F0333"/>
    <w:rsid w:val="00807EA2"/>
    <w:rsid w:val="00813236"/>
    <w:rsid w:val="008259DD"/>
    <w:rsid w:val="00841F44"/>
    <w:rsid w:val="00866659"/>
    <w:rsid w:val="00872A96"/>
    <w:rsid w:val="008A42FC"/>
    <w:rsid w:val="008A7C78"/>
    <w:rsid w:val="008B28EF"/>
    <w:rsid w:val="008B3315"/>
    <w:rsid w:val="008F3F30"/>
    <w:rsid w:val="008F515C"/>
    <w:rsid w:val="009162D5"/>
    <w:rsid w:val="009241ED"/>
    <w:rsid w:val="00941B0C"/>
    <w:rsid w:val="00944A75"/>
    <w:rsid w:val="009527CC"/>
    <w:rsid w:val="00962F38"/>
    <w:rsid w:val="009701B1"/>
    <w:rsid w:val="0098071A"/>
    <w:rsid w:val="0099010B"/>
    <w:rsid w:val="00991150"/>
    <w:rsid w:val="0099356C"/>
    <w:rsid w:val="00995E59"/>
    <w:rsid w:val="009D3766"/>
    <w:rsid w:val="009E3F8E"/>
    <w:rsid w:val="009E6B6D"/>
    <w:rsid w:val="00A06AD5"/>
    <w:rsid w:val="00A07F6C"/>
    <w:rsid w:val="00A264BB"/>
    <w:rsid w:val="00A27931"/>
    <w:rsid w:val="00A30088"/>
    <w:rsid w:val="00A4797D"/>
    <w:rsid w:val="00A70D26"/>
    <w:rsid w:val="00AC4BE4"/>
    <w:rsid w:val="00AD4D32"/>
    <w:rsid w:val="00AD518B"/>
    <w:rsid w:val="00AF1694"/>
    <w:rsid w:val="00B426D9"/>
    <w:rsid w:val="00B715F4"/>
    <w:rsid w:val="00B81D65"/>
    <w:rsid w:val="00B96EE0"/>
    <w:rsid w:val="00BA5C70"/>
    <w:rsid w:val="00BA6026"/>
    <w:rsid w:val="00BA7ED4"/>
    <w:rsid w:val="00BC0E74"/>
    <w:rsid w:val="00BC29D7"/>
    <w:rsid w:val="00BC4795"/>
    <w:rsid w:val="00BC521C"/>
    <w:rsid w:val="00BD4799"/>
    <w:rsid w:val="00C13CDE"/>
    <w:rsid w:val="00C15B0C"/>
    <w:rsid w:val="00C240B6"/>
    <w:rsid w:val="00C37D73"/>
    <w:rsid w:val="00C40DFF"/>
    <w:rsid w:val="00C50ABF"/>
    <w:rsid w:val="00C96175"/>
    <w:rsid w:val="00CB1BA3"/>
    <w:rsid w:val="00CB689F"/>
    <w:rsid w:val="00CC67CB"/>
    <w:rsid w:val="00CC7846"/>
    <w:rsid w:val="00CD07AF"/>
    <w:rsid w:val="00D24F7C"/>
    <w:rsid w:val="00D273AA"/>
    <w:rsid w:val="00D30B03"/>
    <w:rsid w:val="00D338E4"/>
    <w:rsid w:val="00D34131"/>
    <w:rsid w:val="00D371ED"/>
    <w:rsid w:val="00D40FCD"/>
    <w:rsid w:val="00D43ED6"/>
    <w:rsid w:val="00D4715A"/>
    <w:rsid w:val="00D5342C"/>
    <w:rsid w:val="00D567D0"/>
    <w:rsid w:val="00D624C0"/>
    <w:rsid w:val="00D86364"/>
    <w:rsid w:val="00D96E71"/>
    <w:rsid w:val="00DA7532"/>
    <w:rsid w:val="00DB3BBA"/>
    <w:rsid w:val="00DD2035"/>
    <w:rsid w:val="00DD2763"/>
    <w:rsid w:val="00E14098"/>
    <w:rsid w:val="00E15BF1"/>
    <w:rsid w:val="00E1778F"/>
    <w:rsid w:val="00E22409"/>
    <w:rsid w:val="00E401D0"/>
    <w:rsid w:val="00E45B35"/>
    <w:rsid w:val="00E52960"/>
    <w:rsid w:val="00E80C58"/>
    <w:rsid w:val="00E8511D"/>
    <w:rsid w:val="00EA0FF6"/>
    <w:rsid w:val="00EA458D"/>
    <w:rsid w:val="00EB2EA2"/>
    <w:rsid w:val="00EB425B"/>
    <w:rsid w:val="00EC2E31"/>
    <w:rsid w:val="00EC5FE7"/>
    <w:rsid w:val="00EF36D0"/>
    <w:rsid w:val="00F12C7E"/>
    <w:rsid w:val="00F147E7"/>
    <w:rsid w:val="00F3541E"/>
    <w:rsid w:val="00F46B12"/>
    <w:rsid w:val="00F671F4"/>
    <w:rsid w:val="00F776E5"/>
    <w:rsid w:val="00F83CEA"/>
    <w:rsid w:val="00F850F1"/>
    <w:rsid w:val="00F97F19"/>
    <w:rsid w:val="00FA2F3D"/>
    <w:rsid w:val="00FB479F"/>
    <w:rsid w:val="00FD4D3C"/>
    <w:rsid w:val="00FD5CA9"/>
    <w:rsid w:val="00FE698A"/>
    <w:rsid w:val="00FE72FB"/>
    <w:rsid w:val="00FE78E7"/>
    <w:rsid w:val="00FF06BB"/>
    <w:rsid w:val="16442CAD"/>
    <w:rsid w:val="186F7569"/>
    <w:rsid w:val="26D14977"/>
    <w:rsid w:val="3A86198B"/>
    <w:rsid w:val="3EBC4ED9"/>
    <w:rsid w:val="5E973CFE"/>
    <w:rsid w:val="5FB352AA"/>
    <w:rsid w:val="64AD1312"/>
    <w:rsid w:val="7E0E0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ind w:left="100" w:leftChars="100" w:right="100" w:rightChars="1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numPr>
        <w:ilvl w:val="0"/>
        <w:numId w:val="1"/>
      </w:numPr>
      <w:spacing w:before="340" w:after="330"/>
      <w:outlineLvl w:val="0"/>
    </w:pPr>
    <w:rPr>
      <w:rFonts w:eastAsiaTheme="majorEastAsia"/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/>
      <w:outlineLvl w:val="2"/>
    </w:pPr>
    <w:rPr>
      <w:rFonts w:eastAsia="黑体"/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440"/>
      <w:jc w:val="left"/>
    </w:pPr>
    <w:rPr>
      <w:rFonts w:cstheme="minorHAnsi"/>
      <w:sz w:val="18"/>
      <w:szCs w:val="18"/>
    </w:rPr>
  </w:style>
  <w:style w:type="paragraph" w:styleId="6">
    <w:name w:val="Document Map"/>
    <w:basedOn w:val="1"/>
    <w:link w:val="2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toc 5"/>
    <w:basedOn w:val="1"/>
    <w:next w:val="1"/>
    <w:unhideWhenUsed/>
    <w:qFormat/>
    <w:uiPriority w:val="39"/>
    <w:pPr>
      <w:ind w:left="960"/>
      <w:jc w:val="left"/>
    </w:pPr>
    <w:rPr>
      <w:rFonts w:cstheme="minorHAnsi"/>
      <w:sz w:val="18"/>
      <w:szCs w:val="18"/>
    </w:rPr>
  </w:style>
  <w:style w:type="paragraph" w:styleId="8">
    <w:name w:val="toc 3"/>
    <w:basedOn w:val="1"/>
    <w:next w:val="1"/>
    <w:unhideWhenUsed/>
    <w:qFormat/>
    <w:uiPriority w:val="39"/>
    <w:pPr>
      <w:ind w:left="480"/>
      <w:jc w:val="left"/>
    </w:pPr>
    <w:rPr>
      <w:rFonts w:cstheme="minorHAnsi"/>
      <w:i/>
      <w:iCs/>
      <w:sz w:val="20"/>
      <w:szCs w:val="20"/>
    </w:rPr>
  </w:style>
  <w:style w:type="paragraph" w:styleId="9">
    <w:name w:val="toc 8"/>
    <w:basedOn w:val="1"/>
    <w:next w:val="1"/>
    <w:unhideWhenUsed/>
    <w:qFormat/>
    <w:uiPriority w:val="39"/>
    <w:pPr>
      <w:ind w:left="1680"/>
      <w:jc w:val="left"/>
    </w:pPr>
    <w:rPr>
      <w:rFonts w:cstheme="minorHAnsi"/>
      <w:sz w:val="18"/>
      <w:szCs w:val="18"/>
    </w:rPr>
  </w:style>
  <w:style w:type="paragraph" w:styleId="10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11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spacing w:before="120" w:after="120"/>
      <w:ind w:left="0"/>
      <w:jc w:val="left"/>
    </w:pPr>
    <w:rPr>
      <w:rFonts w:cstheme="minorHAnsi"/>
      <w:b/>
      <w:bCs/>
      <w:caps/>
      <w:sz w:val="20"/>
      <w:szCs w:val="20"/>
    </w:rPr>
  </w:style>
  <w:style w:type="paragraph" w:styleId="14">
    <w:name w:val="toc 4"/>
    <w:basedOn w:val="1"/>
    <w:next w:val="1"/>
    <w:unhideWhenUsed/>
    <w:qFormat/>
    <w:uiPriority w:val="39"/>
    <w:pPr>
      <w:ind w:left="720"/>
      <w:jc w:val="left"/>
    </w:pPr>
    <w:rPr>
      <w:rFonts w:cstheme="minorHAnsi"/>
      <w:sz w:val="18"/>
      <w:szCs w:val="18"/>
    </w:rPr>
  </w:style>
  <w:style w:type="paragraph" w:styleId="15">
    <w:name w:val="toc 6"/>
    <w:basedOn w:val="1"/>
    <w:next w:val="1"/>
    <w:unhideWhenUsed/>
    <w:qFormat/>
    <w:uiPriority w:val="39"/>
    <w:pPr>
      <w:ind w:left="1200"/>
      <w:jc w:val="left"/>
    </w:pPr>
    <w:rPr>
      <w:rFonts w:cstheme="minorHAnsi"/>
      <w:sz w:val="18"/>
      <w:szCs w:val="18"/>
    </w:rPr>
  </w:style>
  <w:style w:type="paragraph" w:styleId="16">
    <w:name w:val="toc 2"/>
    <w:basedOn w:val="1"/>
    <w:next w:val="1"/>
    <w:unhideWhenUsed/>
    <w:qFormat/>
    <w:uiPriority w:val="39"/>
    <w:pPr>
      <w:ind w:left="240"/>
      <w:jc w:val="left"/>
    </w:pPr>
    <w:rPr>
      <w:rFonts w:cstheme="minorHAnsi"/>
      <w:smallCaps/>
      <w:sz w:val="20"/>
      <w:szCs w:val="20"/>
    </w:rPr>
  </w:style>
  <w:style w:type="paragraph" w:styleId="17">
    <w:name w:val="toc 9"/>
    <w:basedOn w:val="1"/>
    <w:next w:val="1"/>
    <w:unhideWhenUsed/>
    <w:qFormat/>
    <w:uiPriority w:val="39"/>
    <w:pPr>
      <w:ind w:left="1920"/>
      <w:jc w:val="left"/>
    </w:pPr>
    <w:rPr>
      <w:rFonts w:cstheme="minorHAnsi"/>
      <w:sz w:val="18"/>
      <w:szCs w:val="18"/>
    </w:r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  <w:style w:type="character" w:customStyle="1" w:styleId="22">
    <w:name w:val="标题 1字符"/>
    <w:basedOn w:val="19"/>
    <w:link w:val="2"/>
    <w:qFormat/>
    <w:uiPriority w:val="9"/>
    <w:rPr>
      <w:rFonts w:eastAsiaTheme="majorEastAsia"/>
      <w:b/>
      <w:bCs/>
      <w:kern w:val="44"/>
      <w:sz w:val="30"/>
      <w:szCs w:val="44"/>
    </w:rPr>
  </w:style>
  <w:style w:type="character" w:customStyle="1" w:styleId="23">
    <w:name w:val="标题 2字符"/>
    <w:basedOn w:val="19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32"/>
    </w:rPr>
  </w:style>
  <w:style w:type="character" w:customStyle="1" w:styleId="24">
    <w:name w:val="标题 3字符"/>
    <w:basedOn w:val="19"/>
    <w:link w:val="4"/>
    <w:qFormat/>
    <w:uiPriority w:val="9"/>
    <w:rPr>
      <w:rFonts w:eastAsia="黑体"/>
      <w:b/>
      <w:bCs/>
      <w:kern w:val="2"/>
      <w:sz w:val="24"/>
      <w:szCs w:val="32"/>
    </w:rPr>
  </w:style>
  <w:style w:type="character" w:customStyle="1" w:styleId="25">
    <w:name w:val="页眉字符"/>
    <w:basedOn w:val="19"/>
    <w:link w:val="12"/>
    <w:qFormat/>
    <w:uiPriority w:val="99"/>
    <w:rPr>
      <w:kern w:val="2"/>
      <w:sz w:val="18"/>
      <w:szCs w:val="18"/>
    </w:rPr>
  </w:style>
  <w:style w:type="character" w:customStyle="1" w:styleId="26">
    <w:name w:val="页脚字符"/>
    <w:basedOn w:val="19"/>
    <w:link w:val="11"/>
    <w:qFormat/>
    <w:uiPriority w:val="99"/>
    <w:rPr>
      <w:sz w:val="18"/>
      <w:szCs w:val="18"/>
    </w:rPr>
  </w:style>
  <w:style w:type="paragraph" w:customStyle="1" w:styleId="27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ind w:right="0" w:rightChars="0"/>
      <w:jc w:val="left"/>
      <w:outlineLvl w:val="9"/>
    </w:pPr>
    <w:rPr>
      <w:rFonts w:asciiTheme="majorHAnsi" w:hAnsiTheme="majorHAnsi" w:cstheme="majorBidi"/>
      <w:bCs w:val="0"/>
      <w:color w:val="2E75B6" w:themeColor="accent1" w:themeShade="BF"/>
      <w:kern w:val="0"/>
      <w:szCs w:val="32"/>
    </w:rPr>
  </w:style>
  <w:style w:type="character" w:customStyle="1" w:styleId="28">
    <w:name w:val="批注框文本字符"/>
    <w:basedOn w:val="19"/>
    <w:link w:val="10"/>
    <w:semiHidden/>
    <w:qFormat/>
    <w:uiPriority w:val="99"/>
    <w:rPr>
      <w:kern w:val="2"/>
      <w:sz w:val="18"/>
      <w:szCs w:val="18"/>
    </w:rPr>
  </w:style>
  <w:style w:type="character" w:customStyle="1" w:styleId="29">
    <w:name w:val="文档结构图字符"/>
    <w:basedOn w:val="19"/>
    <w:link w:val="6"/>
    <w:semiHidden/>
    <w:qFormat/>
    <w:uiPriority w:val="99"/>
    <w:rPr>
      <w:rFonts w:ascii="宋体" w:eastAsia="宋体"/>
      <w:kern w:val="2"/>
      <w:sz w:val="18"/>
      <w:szCs w:val="18"/>
    </w:rPr>
  </w:style>
  <w:style w:type="paragraph" w:styleId="30">
    <w:name w:val="List Paragraph"/>
    <w:basedOn w:val="1"/>
    <w:qFormat/>
    <w:uiPriority w:val="99"/>
    <w:pPr>
      <w:ind w:firstLine="420" w:firstLineChars="200"/>
    </w:pPr>
  </w:style>
  <w:style w:type="paragraph" w:customStyle="1" w:styleId="31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32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header" Target="header2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jpe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jpe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472E97-A63C-8F4F-B540-8292DC5CEA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413</Words>
  <Characters>2355</Characters>
  <Lines>19</Lines>
  <Paragraphs>5</Paragraphs>
  <TotalTime>3</TotalTime>
  <ScaleCrop>false</ScaleCrop>
  <LinksUpToDate>false</LinksUpToDate>
  <CharactersWithSpaces>2763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2016-07-04T03:51:00Z</dcterms:created>
  <dc:creator>john</dc:creator>
  <cp:lastModifiedBy>syxy'</cp:lastModifiedBy>
  <dcterms:modified xsi:type="dcterms:W3CDTF">2020-04-29T07:32:57Z</dcterms:modified>
  <cp:revision>162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